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7E05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u w:val="none"/>
        </w:rPr>
      </w:pPr>
      <w:bookmarkStart w:id="0" w:name="_GoBack"/>
      <w:r>
        <w:rPr>
          <w:rFonts w:hint="eastAsia" w:ascii="方正小标宋简体" w:hAnsi="方正小标宋简体" w:eastAsia="方正小标宋简体" w:cs="方正小标宋简体"/>
          <w:sz w:val="44"/>
          <w:szCs w:val="44"/>
          <w:u w:val="none"/>
          <w:lang w:eastAsia="zh-CN"/>
        </w:rPr>
        <w:t>中山市信息中心</w:t>
      </w:r>
      <w:r>
        <w:rPr>
          <w:rFonts w:hint="eastAsia" w:ascii="方正小标宋简体" w:hAnsi="方正小标宋简体" w:eastAsia="方正小标宋简体" w:cs="方正小标宋简体"/>
          <w:sz w:val="44"/>
          <w:szCs w:val="44"/>
          <w:u w:val="none"/>
        </w:rPr>
        <w:t>章程</w:t>
      </w:r>
      <w:bookmarkEnd w:id="0"/>
    </w:p>
    <w:p w14:paraId="5E63B6E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u w:val="none"/>
        </w:rPr>
      </w:pPr>
    </w:p>
    <w:p w14:paraId="707CE38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u w:val="none"/>
        </w:rPr>
      </w:pPr>
      <w:r>
        <w:rPr>
          <w:rFonts w:hint="eastAsia" w:ascii="黑体" w:hAnsi="黑体" w:eastAsia="黑体" w:cs="黑体"/>
          <w:sz w:val="32"/>
          <w:szCs w:val="32"/>
          <w:u w:val="none"/>
        </w:rPr>
        <w:t>第一章</w:t>
      </w:r>
      <w:r>
        <w:rPr>
          <w:rFonts w:hint="eastAsia" w:ascii="黑体" w:hAnsi="黑体" w:eastAsia="黑体" w:cs="黑体"/>
          <w:sz w:val="32"/>
          <w:szCs w:val="32"/>
          <w:u w:val="none"/>
          <w:lang w:val="en-US" w:eastAsia="zh-CN"/>
        </w:rPr>
        <w:t xml:space="preserve"> </w:t>
      </w:r>
      <w:r>
        <w:rPr>
          <w:rFonts w:hint="eastAsia" w:ascii="黑体" w:hAnsi="黑体" w:eastAsia="黑体" w:cs="黑体"/>
          <w:sz w:val="32"/>
          <w:szCs w:val="32"/>
          <w:u w:val="none"/>
        </w:rPr>
        <w:t>总</w:t>
      </w:r>
      <w:r>
        <w:rPr>
          <w:rFonts w:hint="eastAsia" w:ascii="黑体" w:hAnsi="黑体" w:eastAsia="黑体" w:cs="黑体"/>
          <w:sz w:val="32"/>
          <w:szCs w:val="32"/>
          <w:u w:val="none"/>
          <w:lang w:val="en-US" w:eastAsia="zh-CN"/>
        </w:rPr>
        <w:t xml:space="preserve">  </w:t>
      </w:r>
      <w:r>
        <w:rPr>
          <w:rFonts w:hint="eastAsia" w:ascii="黑体" w:hAnsi="黑体" w:eastAsia="黑体" w:cs="黑体"/>
          <w:sz w:val="32"/>
          <w:szCs w:val="32"/>
          <w:u w:val="none"/>
        </w:rPr>
        <w:t>则</w:t>
      </w:r>
    </w:p>
    <w:p w14:paraId="6CF2EA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7CBC644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第一条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为加强党的全面领导、保障科学民主管理与依法依规运行有机统一，构建运行顺畅、协同高效、充满活力的事业单位现代治理机制。根据《中国共产党机构编制工作条例》、《中华人民共和国民法典》、《事业单位登记管理暂行条例》及其实施细则、国家有关法律法规及其他有关规定，制定本章程。</w:t>
      </w:r>
    </w:p>
    <w:p w14:paraId="00F54DD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第二条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本单位名称是</w:t>
      </w:r>
      <w:r>
        <w:rPr>
          <w:rFonts w:hint="eastAsia" w:ascii="仿宋_GB2312" w:hAnsi="仿宋_GB2312" w:eastAsia="仿宋_GB2312" w:cs="仿宋_GB2312"/>
          <w:sz w:val="32"/>
          <w:szCs w:val="32"/>
          <w:u w:val="none"/>
          <w:lang w:eastAsia="zh-CN"/>
        </w:rPr>
        <w:t>中山市信息中心</w:t>
      </w:r>
      <w:r>
        <w:rPr>
          <w:rFonts w:hint="eastAsia" w:ascii="仿宋_GB2312" w:hAnsi="仿宋_GB2312" w:eastAsia="仿宋_GB2312" w:cs="仿宋_GB2312"/>
          <w:sz w:val="32"/>
          <w:szCs w:val="32"/>
          <w:u w:val="none"/>
        </w:rPr>
        <w:t>。</w:t>
      </w:r>
    </w:p>
    <w:p w14:paraId="7B25F18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b/>
          <w:bCs/>
          <w:sz w:val="32"/>
          <w:szCs w:val="32"/>
          <w:u w:val="none"/>
        </w:rPr>
        <mc:AlternateContent>
          <mc:Choice Requires="wps">
            <w:drawing>
              <wp:anchor distT="0" distB="0" distL="114300" distR="114300" simplePos="0" relativeHeight="251659264" behindDoc="1" locked="0" layoutInCell="1" allowOverlap="1">
                <wp:simplePos x="0" y="0"/>
                <wp:positionH relativeFrom="page">
                  <wp:posOffset>5557520</wp:posOffset>
                </wp:positionH>
                <wp:positionV relativeFrom="paragraph">
                  <wp:posOffset>147955</wp:posOffset>
                </wp:positionV>
                <wp:extent cx="210185" cy="210185"/>
                <wp:effectExtent l="0" t="0" r="0" b="0"/>
                <wp:wrapNone/>
                <wp:docPr id="3" name="文本框 3"/>
                <wp:cNvGraphicFramePr/>
                <a:graphic xmlns:a="http://schemas.openxmlformats.org/drawingml/2006/main">
                  <a:graphicData uri="http://schemas.microsoft.com/office/word/2010/wordprocessingShape">
                    <wps:wsp>
                      <wps:cNvSpPr txBox="1"/>
                      <wps:spPr>
                        <a:xfrm>
                          <a:off x="0" y="0"/>
                          <a:ext cx="210185" cy="210185"/>
                        </a:xfrm>
                        <a:prstGeom prst="rect">
                          <a:avLst/>
                        </a:prstGeom>
                        <a:noFill/>
                        <a:ln>
                          <a:noFill/>
                        </a:ln>
                      </wps:spPr>
                      <wps:txbx>
                        <w:txbxContent>
                          <w:p w14:paraId="6611FB8B">
                            <w:pPr>
                              <w:spacing w:before="0" w:line="156" w:lineRule="auto"/>
                              <w:ind w:left="20" w:right="0" w:firstLine="0"/>
                              <w:jc w:val="left"/>
                              <w:rPr>
                                <w:sz w:val="29"/>
                              </w:rPr>
                            </w:pPr>
                            <w:r>
                              <w:rPr>
                                <w:color w:val="6B6B6E"/>
                                <w:w w:val="100"/>
                                <w:sz w:val="29"/>
                              </w:rPr>
                              <w:t>。</w:t>
                            </w:r>
                          </w:p>
                        </w:txbxContent>
                      </wps:txbx>
                      <wps:bodyPr vert="eaVert" lIns="0" tIns="0" rIns="0" bIns="0" upright="1"/>
                    </wps:wsp>
                  </a:graphicData>
                </a:graphic>
              </wp:anchor>
            </w:drawing>
          </mc:Choice>
          <mc:Fallback>
            <w:pict>
              <v:shape id="_x0000_s1026" o:spid="_x0000_s1026" o:spt="202" type="#_x0000_t202" style="position:absolute;left:0pt;margin-left:437.6pt;margin-top:11.65pt;height:16.55pt;width:16.55pt;mso-position-horizontal-relative:page;z-index:-251657216;mso-width-relative:page;mso-height-relative:page;" filled="f" stroked="f" coordsize="21600,21600" o:gfxdata="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PRi6K/XAAAACQEAAA8AAAAAAAAAAQAgAAAAIgAAAGRycy9kb3ducmV2LnhtbFBL&#10;AQIUABQAAAAIAIdO4kALoV5lvgEAAH8DAAAOAAAAAAAAAAEAIAAAACYBAABkcnMvZTJvRG9jLnht&#10;bFBLBQYAAAAABgAGAFkBAABWBQAAAAA=&#10;">
                <v:fill on="f" focussize="0,0"/>
                <v:stroke on="f"/>
                <v:imagedata o:title=""/>
                <o:lock v:ext="edit" aspectratio="f"/>
                <v:textbox inset="0mm,0mm,0mm,0mm" style="layout-flow:vertical-ideographic;">
                  <w:txbxContent>
                    <w:p w14:paraId="6611FB8B">
                      <w:pPr>
                        <w:spacing w:before="0" w:line="156" w:lineRule="auto"/>
                        <w:ind w:left="20" w:right="0" w:firstLine="0"/>
                        <w:jc w:val="left"/>
                        <w:rPr>
                          <w:sz w:val="29"/>
                        </w:rPr>
                      </w:pPr>
                      <w:r>
                        <w:rPr>
                          <w:color w:val="6B6B6E"/>
                          <w:w w:val="100"/>
                          <w:sz w:val="29"/>
                        </w:rPr>
                        <w:t>。</w:t>
                      </w:r>
                    </w:p>
                  </w:txbxContent>
                </v:textbox>
              </v:shape>
            </w:pict>
          </mc:Fallback>
        </mc:AlternateContent>
      </w:r>
      <w:r>
        <w:rPr>
          <w:rFonts w:hint="eastAsia" w:ascii="仿宋_GB2312" w:hAnsi="仿宋_GB2312" w:eastAsia="仿宋_GB2312" w:cs="仿宋_GB2312"/>
          <w:b/>
          <w:bCs/>
          <w:sz w:val="32"/>
          <w:szCs w:val="32"/>
          <w:u w:val="none"/>
        </w:rPr>
        <w:t>第三条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本单位住所是</w:t>
      </w:r>
      <w:r>
        <w:rPr>
          <w:rFonts w:hint="eastAsia" w:ascii="仿宋_GB2312" w:hAnsi="仿宋_GB2312" w:eastAsia="仿宋_GB2312" w:cs="仿宋_GB2312"/>
          <w:sz w:val="32"/>
          <w:szCs w:val="32"/>
          <w:u w:val="none"/>
          <w:lang w:eastAsia="zh-CN"/>
        </w:rPr>
        <w:t>中山市东区松苑路一号市政府大</w:t>
      </w:r>
      <w:r>
        <w:rPr>
          <w:rFonts w:hint="eastAsia" w:ascii="仿宋_GB2312" w:hAnsi="仿宋_GB2312" w:eastAsia="仿宋_GB2312" w:cs="仿宋_GB2312"/>
          <w:sz w:val="32"/>
          <w:szCs w:val="32"/>
          <w:u w:val="none"/>
          <w:lang w:val="en-US" w:eastAsia="zh-CN"/>
        </w:rPr>
        <w:t>楼155室</w:t>
      </w:r>
      <w:r>
        <w:rPr>
          <w:rFonts w:hint="eastAsia" w:ascii="仿宋_GB2312" w:hAnsi="仿宋_GB2312" w:eastAsia="仿宋_GB2312" w:cs="仿宋_GB2312"/>
          <w:sz w:val="32"/>
          <w:szCs w:val="32"/>
          <w:u w:val="none"/>
          <w:lang w:eastAsia="zh-CN"/>
        </w:rPr>
        <w:t>。</w:t>
      </w:r>
    </w:p>
    <w:p w14:paraId="6104F84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第四条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本单位经费来源是</w:t>
      </w:r>
      <w:r>
        <w:rPr>
          <w:rFonts w:hint="eastAsia" w:ascii="仿宋_GB2312" w:hAnsi="仿宋_GB2312" w:eastAsia="仿宋_GB2312" w:cs="仿宋_GB2312"/>
          <w:sz w:val="32"/>
          <w:szCs w:val="32"/>
          <w:u w:val="none"/>
          <w:lang w:eastAsia="zh-CN"/>
        </w:rPr>
        <w:t>财政补助</w:t>
      </w:r>
      <w:r>
        <w:rPr>
          <w:rFonts w:hint="eastAsia" w:ascii="仿宋_GB2312" w:hAnsi="仿宋_GB2312" w:eastAsia="仿宋_GB2312" w:cs="仿宋_GB2312"/>
          <w:sz w:val="32"/>
          <w:szCs w:val="32"/>
          <w:u w:val="none"/>
        </w:rPr>
        <w:t>。</w:t>
      </w:r>
    </w:p>
    <w:p w14:paraId="43F8A66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第五条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本单位开办资金为人民币</w:t>
      </w:r>
      <w:r>
        <w:rPr>
          <w:rFonts w:hint="eastAsia" w:ascii="仿宋_GB2312" w:hAnsi="仿宋_GB2312" w:eastAsia="仿宋_GB2312" w:cs="仿宋_GB2312"/>
          <w:sz w:val="32"/>
          <w:szCs w:val="32"/>
          <w:u w:val="none"/>
          <w:lang w:val="en-US" w:eastAsia="zh-CN"/>
        </w:rPr>
        <w:t>贰仟零肆拾</w:t>
      </w:r>
      <w:r>
        <w:rPr>
          <w:rFonts w:hint="eastAsia" w:ascii="仿宋_GB2312" w:hAnsi="仿宋_GB2312" w:eastAsia="仿宋_GB2312" w:cs="仿宋_GB2312"/>
          <w:sz w:val="32"/>
          <w:szCs w:val="32"/>
          <w:u w:val="none"/>
        </w:rPr>
        <w:t>万元。</w:t>
      </w:r>
    </w:p>
    <w:p w14:paraId="579B20B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bCs/>
          <w:sz w:val="32"/>
          <w:szCs w:val="32"/>
          <w:u w:val="none"/>
        </w:rPr>
        <w:t>第六条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本单位的举办单位是</w:t>
      </w:r>
      <w:r>
        <w:rPr>
          <w:rFonts w:hint="eastAsia" w:ascii="仿宋_GB2312" w:hAnsi="仿宋_GB2312" w:eastAsia="仿宋_GB2312" w:cs="仿宋_GB2312"/>
          <w:sz w:val="32"/>
          <w:szCs w:val="32"/>
          <w:u w:val="none"/>
          <w:lang w:val="en-US" w:eastAsia="zh-CN"/>
        </w:rPr>
        <w:t>中山市政务服务和数据管理局。</w:t>
      </w:r>
    </w:p>
    <w:p w14:paraId="5E7055C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第七条</w:t>
      </w:r>
      <w:r>
        <w:rPr>
          <w:rFonts w:hint="eastAsia" w:ascii="仿宋_GB2312" w:hAnsi="仿宋_GB2312" w:eastAsia="仿宋_GB2312" w:cs="仿宋_GB2312"/>
          <w:sz w:val="32"/>
          <w:szCs w:val="32"/>
          <w:u w:val="none"/>
        </w:rPr>
        <w:tab/>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本单位的业务主管单位是</w:t>
      </w:r>
      <w:r>
        <w:rPr>
          <w:rFonts w:hint="eastAsia" w:ascii="仿宋_GB2312" w:hAnsi="仿宋_GB2312" w:eastAsia="仿宋_GB2312" w:cs="仿宋_GB2312"/>
          <w:sz w:val="32"/>
          <w:szCs w:val="32"/>
          <w:u w:val="none"/>
          <w:lang w:val="en-US" w:eastAsia="zh-CN"/>
        </w:rPr>
        <w:t>中山市政务服务和数据管理局</w:t>
      </w:r>
      <w:r>
        <w:rPr>
          <w:rFonts w:hint="eastAsia" w:ascii="仿宋_GB2312" w:hAnsi="仿宋_GB2312" w:eastAsia="仿宋_GB2312" w:cs="仿宋_GB2312"/>
          <w:sz w:val="32"/>
          <w:szCs w:val="32"/>
          <w:u w:val="none"/>
        </w:rPr>
        <w:t>。</w:t>
      </w:r>
    </w:p>
    <w:p w14:paraId="32F0394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第八条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本单位的登记管理机关是</w:t>
      </w:r>
      <w:r>
        <w:rPr>
          <w:rFonts w:hint="eastAsia" w:ascii="仿宋_GB2312" w:hAnsi="仿宋_GB2312" w:eastAsia="仿宋_GB2312" w:cs="仿宋_GB2312"/>
          <w:sz w:val="32"/>
          <w:szCs w:val="32"/>
          <w:u w:val="none"/>
          <w:lang w:eastAsia="zh-CN"/>
        </w:rPr>
        <w:t>中山市事业单位登记管理局</w:t>
      </w:r>
      <w:r>
        <w:rPr>
          <w:rFonts w:hint="eastAsia" w:ascii="仿宋_GB2312" w:hAnsi="仿宋_GB2312" w:eastAsia="仿宋_GB2312" w:cs="仿宋_GB2312"/>
          <w:sz w:val="32"/>
          <w:szCs w:val="32"/>
          <w:u w:val="none"/>
        </w:rPr>
        <w:t>。</w:t>
      </w:r>
    </w:p>
    <w:p w14:paraId="3EA8B5B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第九条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本单位的领导体制是行政领导人</w:t>
      </w:r>
      <w:r>
        <w:rPr>
          <w:rFonts w:hint="eastAsia" w:ascii="仿宋_GB2312" w:hAnsi="仿宋_GB2312" w:eastAsia="仿宋_GB2312" w:cs="仿宋_GB2312"/>
          <w:sz w:val="32"/>
          <w:szCs w:val="32"/>
          <w:u w:val="none"/>
          <w:lang w:eastAsia="zh-CN"/>
        </w:rPr>
        <w:t>负责制</w:t>
      </w:r>
      <w:r>
        <w:rPr>
          <w:rFonts w:hint="eastAsia" w:ascii="仿宋_GB2312" w:hAnsi="仿宋_GB2312" w:eastAsia="仿宋_GB2312" w:cs="仿宋_GB2312"/>
          <w:sz w:val="32"/>
          <w:szCs w:val="32"/>
          <w:u w:val="none"/>
        </w:rPr>
        <w:t>。</w:t>
      </w:r>
    </w:p>
    <w:p w14:paraId="698E70D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第十条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本单位的宗旨是</w:t>
      </w:r>
      <w:r>
        <w:rPr>
          <w:rFonts w:hint="eastAsia" w:ascii="仿宋_GB2312" w:hAnsi="仿宋_GB2312" w:eastAsia="仿宋_GB2312" w:cs="仿宋_GB2312"/>
          <w:sz w:val="32"/>
          <w:szCs w:val="32"/>
          <w:u w:val="none"/>
          <w:lang w:val="en-US" w:eastAsia="zh-CN"/>
        </w:rPr>
        <w:t>为市</w:t>
      </w:r>
      <w:r>
        <w:rPr>
          <w:rFonts w:hint="eastAsia" w:ascii="仿宋_GB2312" w:hAnsi="仿宋_GB2312" w:eastAsia="仿宋_GB2312" w:cs="仿宋_GB2312"/>
          <w:sz w:val="32"/>
          <w:szCs w:val="32"/>
          <w:u w:val="none"/>
          <w:lang w:eastAsia="zh-CN"/>
        </w:rPr>
        <w:t>委、</w:t>
      </w:r>
      <w:r>
        <w:rPr>
          <w:rFonts w:hint="eastAsia" w:ascii="仿宋_GB2312" w:hAnsi="仿宋_GB2312" w:eastAsia="仿宋_GB2312" w:cs="仿宋_GB2312"/>
          <w:sz w:val="32"/>
          <w:szCs w:val="32"/>
          <w:u w:val="none"/>
          <w:lang w:val="en-US" w:eastAsia="zh-CN"/>
        </w:rPr>
        <w:t>市</w:t>
      </w:r>
      <w:r>
        <w:rPr>
          <w:rFonts w:hint="eastAsia" w:ascii="仿宋_GB2312" w:hAnsi="仿宋_GB2312" w:eastAsia="仿宋_GB2312" w:cs="仿宋_GB2312"/>
          <w:sz w:val="32"/>
          <w:szCs w:val="32"/>
          <w:u w:val="none"/>
          <w:lang w:eastAsia="zh-CN"/>
        </w:rPr>
        <w:t>政府及各部门提供专业的信息技术支撑服务</w:t>
      </w:r>
      <w:r>
        <w:rPr>
          <w:rFonts w:hint="eastAsia" w:ascii="仿宋_GB2312" w:hAnsi="仿宋_GB2312" w:eastAsia="仿宋_GB2312" w:cs="仿宋_GB2312"/>
          <w:sz w:val="32"/>
          <w:szCs w:val="32"/>
          <w:u w:val="none"/>
        </w:rPr>
        <w:t>。</w:t>
      </w:r>
    </w:p>
    <w:p w14:paraId="678F5BF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b/>
          <w:bCs/>
          <w:sz w:val="32"/>
          <w:szCs w:val="32"/>
          <w:u w:val="none"/>
        </w:rPr>
        <w:t>第十一条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本单位的业务范围包括统筹全市电子政务</w:t>
      </w:r>
      <w:r>
        <w:rPr>
          <w:rFonts w:hint="eastAsia" w:ascii="仿宋_GB2312" w:hAnsi="仿宋_GB2312" w:eastAsia="仿宋_GB2312" w:cs="仿宋_GB2312"/>
          <w:sz w:val="32"/>
          <w:szCs w:val="32"/>
          <w:u w:val="none"/>
          <w:lang w:val="en-US" w:eastAsia="zh-CN"/>
        </w:rPr>
        <w:t>外网</w:t>
      </w:r>
      <w:r>
        <w:rPr>
          <w:rFonts w:hint="eastAsia" w:ascii="仿宋_GB2312" w:hAnsi="仿宋_GB2312" w:eastAsia="仿宋_GB2312" w:cs="仿宋_GB2312"/>
          <w:sz w:val="32"/>
          <w:szCs w:val="32"/>
          <w:u w:val="none"/>
        </w:rPr>
        <w:t>建设和运维管理，省市电子政务</w:t>
      </w:r>
      <w:r>
        <w:rPr>
          <w:rFonts w:hint="eastAsia" w:ascii="仿宋_GB2312" w:hAnsi="仿宋_GB2312" w:eastAsia="仿宋_GB2312" w:cs="仿宋_GB2312"/>
          <w:sz w:val="32"/>
          <w:szCs w:val="32"/>
          <w:u w:val="none"/>
          <w:lang w:val="en-US" w:eastAsia="zh-CN"/>
        </w:rPr>
        <w:t>外网</w:t>
      </w:r>
      <w:r>
        <w:rPr>
          <w:rFonts w:hint="eastAsia" w:ascii="仿宋_GB2312" w:hAnsi="仿宋_GB2312" w:eastAsia="仿宋_GB2312" w:cs="仿宋_GB2312"/>
          <w:sz w:val="32"/>
          <w:szCs w:val="32"/>
          <w:u w:val="none"/>
        </w:rPr>
        <w:t>互联互通工作</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统筹全市性综合办公系统平台建设、运维管理以及推广应用</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负责上级交办的全市性相关重要系统的建设和运维管理</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统筹管理全市政务云服务平台，协助市有关部门开展政务</w:t>
      </w:r>
      <w:r>
        <w:rPr>
          <w:rFonts w:hint="eastAsia" w:ascii="仿宋_GB2312" w:hAnsi="仿宋_GB2312" w:eastAsia="仿宋_GB2312" w:cs="仿宋_GB2312"/>
          <w:sz w:val="32"/>
          <w:szCs w:val="32"/>
          <w:u w:val="none"/>
          <w:lang w:val="en-US" w:eastAsia="zh-CN"/>
        </w:rPr>
        <w:t>外网</w:t>
      </w:r>
      <w:r>
        <w:rPr>
          <w:rFonts w:hint="eastAsia" w:ascii="仿宋_GB2312" w:hAnsi="仿宋_GB2312" w:eastAsia="仿宋_GB2312" w:cs="仿宋_GB2312"/>
          <w:sz w:val="32"/>
          <w:szCs w:val="32"/>
          <w:u w:val="none"/>
        </w:rPr>
        <w:t>安全监管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负责市政府门户网站和政府网站集约化平台的建设和运维管理，指导协调全市政府网站的建设工作</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承办上级部门交办的其他工作任务</w:t>
      </w:r>
      <w:r>
        <w:rPr>
          <w:rFonts w:hint="eastAsia" w:ascii="仿宋_GB2312" w:hAnsi="仿宋_GB2312" w:eastAsia="仿宋_GB2312" w:cs="仿宋_GB2312"/>
          <w:sz w:val="32"/>
          <w:szCs w:val="32"/>
          <w:u w:val="none"/>
          <w:lang w:eastAsia="zh-CN"/>
        </w:rPr>
        <w:t>。</w:t>
      </w:r>
    </w:p>
    <w:p w14:paraId="53D3456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4C4D7AC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黑体" w:eastAsia="黑体" w:cs="黑体"/>
          <w:sz w:val="32"/>
          <w:szCs w:val="32"/>
          <w:u w:val="none"/>
        </w:rPr>
      </w:pPr>
      <w:r>
        <w:rPr>
          <w:rFonts w:hint="eastAsia" w:ascii="黑体" w:hAnsi="黑体" w:eastAsia="黑体" w:cs="黑体"/>
          <w:sz w:val="32"/>
          <w:szCs w:val="32"/>
          <w:u w:val="none"/>
        </w:rPr>
        <w:t>第二章</w:t>
      </w:r>
      <w:r>
        <w:rPr>
          <w:rFonts w:hint="eastAsia" w:ascii="黑体" w:hAnsi="黑体" w:eastAsia="黑体" w:cs="黑体"/>
          <w:sz w:val="32"/>
          <w:szCs w:val="32"/>
          <w:u w:val="none"/>
          <w:lang w:val="en-US" w:eastAsia="zh-CN"/>
        </w:rPr>
        <w:t xml:space="preserve"> </w:t>
      </w:r>
      <w:r>
        <w:rPr>
          <w:rFonts w:hint="eastAsia" w:ascii="黑体" w:hAnsi="黑体" w:eastAsia="黑体" w:cs="黑体"/>
          <w:sz w:val="32"/>
          <w:szCs w:val="32"/>
          <w:u w:val="none"/>
        </w:rPr>
        <w:t>党的建设</w:t>
      </w:r>
    </w:p>
    <w:p w14:paraId="713508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4A46065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b/>
          <w:bCs/>
          <w:sz w:val="32"/>
          <w:szCs w:val="32"/>
          <w:u w:val="none"/>
        </w:rPr>
        <w:t>第十二条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本单位党组织的地位和作用</w:t>
      </w:r>
    </w:p>
    <w:p w14:paraId="0626974B">
      <w:pPr>
        <w:pStyle w:val="2"/>
        <w:keepNext w:val="0"/>
        <w:keepLines w:val="0"/>
        <w:pageBreakBefore w:val="0"/>
        <w:kinsoku/>
        <w:wordWrap/>
        <w:overflowPunct/>
        <w:topLinePunct w:val="0"/>
        <w:autoSpaceDE/>
        <w:autoSpaceDN/>
        <w:bidi w:val="0"/>
        <w:adjustRightInd/>
        <w:snapToGrid/>
        <w:spacing w:line="600" w:lineRule="exact"/>
        <w:rPr>
          <w:rFonts w:hint="eastAsia" w:ascii="仿宋_GB2312" w:hAnsi="仿宋_GB2312" w:cs="仿宋_GB2312"/>
          <w:sz w:val="32"/>
          <w:szCs w:val="32"/>
          <w:u w:val="none"/>
          <w:lang w:eastAsia="zh-CN"/>
        </w:rPr>
      </w:pPr>
      <w:r>
        <w:rPr>
          <w:rFonts w:hint="eastAsia" w:ascii="仿宋_GB2312" w:hAnsi="仿宋_GB2312" w:cs="仿宋_GB2312"/>
          <w:sz w:val="32"/>
          <w:szCs w:val="32"/>
          <w:u w:val="none"/>
          <w:lang w:eastAsia="zh-CN"/>
        </w:rPr>
        <w:t>（</w:t>
      </w:r>
      <w:r>
        <w:rPr>
          <w:rFonts w:hint="eastAsia" w:ascii="仿宋_GB2312" w:hAnsi="仿宋_GB2312" w:cs="仿宋_GB2312"/>
          <w:sz w:val="32"/>
          <w:szCs w:val="32"/>
          <w:u w:val="none"/>
          <w:lang w:val="en-US" w:eastAsia="zh-CN"/>
        </w:rPr>
        <w:t>一</w:t>
      </w:r>
      <w:r>
        <w:rPr>
          <w:rFonts w:hint="eastAsia" w:ascii="仿宋_GB2312" w:hAnsi="仿宋_GB2312" w:cs="仿宋_GB2312"/>
          <w:sz w:val="32"/>
          <w:szCs w:val="32"/>
          <w:u w:val="none"/>
          <w:lang w:eastAsia="zh-CN"/>
        </w:rPr>
        <w:t>）</w:t>
      </w:r>
      <w:r>
        <w:rPr>
          <w:rFonts w:hint="eastAsia" w:ascii="仿宋_GB2312" w:hAnsi="仿宋_GB2312" w:cs="仿宋_GB2312"/>
          <w:sz w:val="32"/>
          <w:szCs w:val="32"/>
          <w:u w:val="none"/>
          <w:lang w:val="en-US" w:eastAsia="zh-CN"/>
        </w:rPr>
        <w:t>本单位</w:t>
      </w:r>
      <w:r>
        <w:rPr>
          <w:rFonts w:hint="eastAsia" w:ascii="仿宋_GB2312" w:hAnsi="仿宋_GB2312" w:eastAsia="仿宋_GB2312" w:cs="仿宋_GB2312"/>
          <w:sz w:val="32"/>
          <w:szCs w:val="32"/>
          <w:u w:val="none"/>
          <w:lang w:eastAsia="zh-CN"/>
        </w:rPr>
        <w:t>根据《中国共产党章程》和其他党内法规的有关规定，经上级党组织批准，设立中共</w:t>
      </w:r>
      <w:r>
        <w:rPr>
          <w:rFonts w:hint="eastAsia" w:ascii="仿宋_GB2312" w:hAnsi="仿宋_GB2312" w:eastAsia="仿宋_GB2312" w:cs="仿宋_GB2312"/>
          <w:sz w:val="32"/>
          <w:szCs w:val="32"/>
          <w:u w:val="none"/>
          <w:lang w:val="en-US" w:eastAsia="zh-CN"/>
        </w:rPr>
        <w:t>中山市信息</w:t>
      </w:r>
      <w:r>
        <w:rPr>
          <w:rFonts w:hint="eastAsia" w:ascii="仿宋_GB2312" w:hAnsi="仿宋_GB2312" w:eastAsia="仿宋_GB2312" w:cs="仿宋_GB2312"/>
          <w:sz w:val="32"/>
          <w:szCs w:val="32"/>
          <w:u w:val="none"/>
          <w:lang w:eastAsia="zh-CN"/>
        </w:rPr>
        <w:t>中心支部委员会</w:t>
      </w:r>
      <w:r>
        <w:rPr>
          <w:rFonts w:hint="eastAsia" w:ascii="仿宋_GB2312" w:hAnsi="仿宋_GB2312" w:cs="仿宋_GB2312"/>
          <w:sz w:val="32"/>
          <w:szCs w:val="32"/>
          <w:u w:val="none"/>
          <w:lang w:eastAsia="zh-CN"/>
        </w:rPr>
        <w:t>；</w:t>
      </w:r>
    </w:p>
    <w:p w14:paraId="745CAC08">
      <w:pPr>
        <w:pStyle w:val="2"/>
        <w:keepNext w:val="0"/>
        <w:keepLines w:val="0"/>
        <w:pageBreakBefore w:val="0"/>
        <w:kinsoku/>
        <w:wordWrap/>
        <w:overflowPunct/>
        <w:topLinePunct w:val="0"/>
        <w:autoSpaceDE/>
        <w:autoSpaceDN/>
        <w:bidi w:val="0"/>
        <w:adjustRightInd/>
        <w:snapToGrid/>
        <w:spacing w:line="600" w:lineRule="exact"/>
        <w:rPr>
          <w:rFonts w:hint="default" w:ascii="仿宋_GB2312" w:hAnsi="仿宋_GB2312" w:cs="仿宋_GB2312"/>
          <w:sz w:val="32"/>
          <w:szCs w:val="32"/>
          <w:u w:val="none"/>
          <w:lang w:val="en-US" w:eastAsia="zh-CN"/>
        </w:rPr>
      </w:pPr>
      <w:r>
        <w:rPr>
          <w:rFonts w:hint="eastAsia" w:ascii="仿宋_GB2312" w:hAnsi="仿宋_GB2312" w:cs="仿宋_GB2312"/>
          <w:sz w:val="32"/>
          <w:szCs w:val="32"/>
          <w:u w:val="none"/>
          <w:lang w:eastAsia="zh-CN"/>
        </w:rPr>
        <w:t>（</w:t>
      </w:r>
      <w:r>
        <w:rPr>
          <w:rFonts w:hint="eastAsia" w:ascii="仿宋_GB2312" w:hAnsi="仿宋_GB2312" w:cs="仿宋_GB2312"/>
          <w:sz w:val="32"/>
          <w:szCs w:val="32"/>
          <w:u w:val="none"/>
          <w:lang w:val="en-US" w:eastAsia="zh-CN"/>
        </w:rPr>
        <w:t>二</w:t>
      </w:r>
      <w:r>
        <w:rPr>
          <w:rFonts w:hint="eastAsia" w:ascii="仿宋_GB2312" w:hAnsi="仿宋_GB2312" w:cs="仿宋_GB2312"/>
          <w:sz w:val="32"/>
          <w:szCs w:val="32"/>
          <w:u w:val="none"/>
          <w:lang w:eastAsia="zh-CN"/>
        </w:rPr>
        <w:t>）</w:t>
      </w:r>
      <w:r>
        <w:rPr>
          <w:rFonts w:hint="eastAsia" w:ascii="仿宋_GB2312" w:hAnsi="仿宋_GB2312" w:cs="仿宋_GB2312"/>
          <w:sz w:val="32"/>
          <w:szCs w:val="32"/>
          <w:u w:val="none"/>
          <w:lang w:val="en-US" w:eastAsia="zh-CN"/>
        </w:rPr>
        <w:t>本单位党组织发挥战斗堡垒作用，紧密围绕党的基本路线，按照参与决策、推动发展、监督保障的要求，会同行政领导班子共同做好本单位工作，充分发挥政治优势、思想优势和组织优势，促进事业发展</w:t>
      </w:r>
      <w:r>
        <w:rPr>
          <w:rFonts w:hint="eastAsia" w:ascii="仿宋_GB2312" w:hAnsi="仿宋_GB2312" w:eastAsia="仿宋_GB2312" w:cs="仿宋_GB2312"/>
          <w:sz w:val="32"/>
          <w:szCs w:val="32"/>
          <w:u w:val="none"/>
          <w:lang w:eastAsia="zh-CN"/>
        </w:rPr>
        <w:t>。</w:t>
      </w:r>
    </w:p>
    <w:p w14:paraId="017275D9">
      <w:pPr>
        <w:pStyle w:val="2"/>
        <w:keepNext w:val="0"/>
        <w:keepLines w:val="0"/>
        <w:pageBreakBefore w:val="0"/>
        <w:kinsoku/>
        <w:wordWrap/>
        <w:overflowPunct/>
        <w:topLinePunct w:val="0"/>
        <w:autoSpaceDE/>
        <w:autoSpaceDN/>
        <w:bidi w:val="0"/>
        <w:adjustRightInd/>
        <w:snapToGrid/>
        <w:spacing w:line="600" w:lineRule="exact"/>
        <w:rPr>
          <w:rFonts w:hint="eastAsia" w:ascii="仿宋_GB2312" w:hAnsi="仿宋_GB2312" w:cs="仿宋_GB2312"/>
          <w:sz w:val="32"/>
          <w:szCs w:val="32"/>
          <w:u w:val="none"/>
          <w:lang w:eastAsia="zh-CN"/>
        </w:rPr>
      </w:pPr>
      <w:r>
        <w:rPr>
          <w:rFonts w:hint="eastAsia" w:ascii="仿宋_GB2312" w:hAnsi="仿宋_GB2312" w:eastAsia="仿宋_GB2312" w:cs="仿宋_GB2312"/>
          <w:b/>
          <w:bCs/>
          <w:sz w:val="32"/>
          <w:szCs w:val="32"/>
          <w:u w:val="none"/>
        </w:rPr>
        <w:t>第十三条</w:t>
      </w:r>
      <w:r>
        <w:rPr>
          <w:rFonts w:hint="eastAsia" w:ascii="仿宋_GB2312" w:hAnsi="仿宋_GB2312" w:eastAsia="仿宋_GB2312" w:cs="仿宋_GB2312"/>
          <w:sz w:val="32"/>
          <w:szCs w:val="32"/>
          <w:u w:val="none"/>
        </w:rPr>
        <w:tab/>
      </w:r>
      <w:r>
        <w:rPr>
          <w:rFonts w:hint="eastAsia" w:ascii="仿宋_GB2312" w:hAnsi="仿宋_GB2312" w:eastAsia="仿宋_GB2312" w:cs="仿宋_GB2312"/>
          <w:sz w:val="32"/>
          <w:szCs w:val="32"/>
          <w:u w:val="none"/>
        </w:rPr>
        <w:t>本单位党组织发挥作用的方式、途径和程序</w:t>
      </w:r>
    </w:p>
    <w:p w14:paraId="3913D1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u w:val="none"/>
          <w:lang w:val="en-US" w:eastAsia="zh-CN" w:bidi="ar-SA"/>
        </w:rPr>
      </w:pPr>
      <w:r>
        <w:rPr>
          <w:rFonts w:hint="eastAsia" w:ascii="仿宋_GB2312" w:hAnsi="仿宋_GB2312" w:eastAsia="仿宋_GB2312" w:cs="仿宋_GB2312"/>
          <w:color w:val="000000"/>
          <w:kern w:val="0"/>
          <w:sz w:val="32"/>
          <w:szCs w:val="32"/>
          <w:u w:val="none"/>
          <w:lang w:val="en-US" w:eastAsia="zh-CN" w:bidi="ar-SA"/>
        </w:rPr>
        <w:t>（一）本单位党组织对涉及本单位改革发展稳定和事关职工群众切身利益的重大问题、重要事项等进行讨论、参与决策；</w:t>
      </w:r>
    </w:p>
    <w:p w14:paraId="2BF294CF">
      <w:pPr>
        <w:pStyle w:val="2"/>
        <w:keepNext w:val="0"/>
        <w:keepLines w:val="0"/>
        <w:pageBreakBefore w:val="0"/>
        <w:kinsoku/>
        <w:wordWrap/>
        <w:overflowPunct/>
        <w:topLinePunct w:val="0"/>
        <w:autoSpaceDE/>
        <w:autoSpaceDN/>
        <w:bidi w:val="0"/>
        <w:adjustRightInd/>
        <w:snapToGrid/>
        <w:spacing w:line="600" w:lineRule="exact"/>
        <w:rPr>
          <w:rFonts w:hint="eastAsia" w:ascii="仿宋_GB2312" w:hAnsi="仿宋_GB2312" w:eastAsia="仿宋_GB2312" w:cs="仿宋_GB2312"/>
          <w:color w:val="000000"/>
          <w:kern w:val="0"/>
          <w:sz w:val="32"/>
          <w:szCs w:val="32"/>
          <w:u w:val="none"/>
          <w:lang w:val="en-US" w:eastAsia="zh-CN" w:bidi="ar-SA"/>
        </w:rPr>
      </w:pPr>
      <w:r>
        <w:rPr>
          <w:rFonts w:hint="eastAsia" w:ascii="仿宋_GB2312" w:hAnsi="仿宋_GB2312" w:eastAsia="仿宋_GB2312" w:cs="仿宋_GB2312"/>
          <w:color w:val="000000"/>
          <w:kern w:val="0"/>
          <w:sz w:val="32"/>
          <w:szCs w:val="32"/>
          <w:u w:val="none"/>
          <w:lang w:val="en-US" w:eastAsia="zh-CN" w:bidi="ar-SA"/>
        </w:rPr>
        <w:t>（二）本单位党组织建立健全议事决策制度，保证党组织切实有效发挥作用。</w:t>
      </w:r>
    </w:p>
    <w:p w14:paraId="2055B66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b/>
          <w:bCs/>
          <w:sz w:val="32"/>
          <w:szCs w:val="32"/>
          <w:u w:val="none"/>
        </w:rPr>
        <w:t>第十四条</w:t>
      </w:r>
      <w:r>
        <w:rPr>
          <w:rFonts w:hint="eastAsia" w:ascii="仿宋_GB2312" w:hAnsi="仿宋_GB2312" w:eastAsia="仿宋_GB2312" w:cs="仿宋_GB2312"/>
          <w:sz w:val="32"/>
          <w:szCs w:val="32"/>
          <w:u w:val="none"/>
        </w:rPr>
        <w:tab/>
      </w:r>
      <w:r>
        <w:rPr>
          <w:rFonts w:hint="eastAsia" w:ascii="仿宋_GB2312" w:hAnsi="仿宋_GB2312" w:eastAsia="仿宋_GB2312" w:cs="仿宋_GB2312"/>
          <w:sz w:val="32"/>
          <w:szCs w:val="32"/>
          <w:u w:val="none"/>
        </w:rPr>
        <w:t>本单位通过以下方式保证党的全面领导</w:t>
      </w:r>
      <w:r>
        <w:rPr>
          <w:rFonts w:hint="eastAsia" w:ascii="仿宋_GB2312" w:hAnsi="仿宋_GB2312" w:eastAsia="仿宋_GB2312" w:cs="仿宋_GB2312"/>
          <w:sz w:val="32"/>
          <w:szCs w:val="32"/>
          <w:u w:val="none"/>
          <w:lang w:eastAsia="zh-CN"/>
        </w:rPr>
        <w:t>：</w:t>
      </w:r>
    </w:p>
    <w:p w14:paraId="6EDAD1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本单位党组织接受举办单位党组织的全面领导和监督，举办单位党组织按议事规则决定本单位重大事项决策、重要干部任免、重要项目安排、大额资金使用以及干部人事等事项，确保单位发展方向正确。</w:t>
      </w:r>
    </w:p>
    <w:p w14:paraId="75D4AF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79F9060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u w:val="none"/>
          <w:lang w:eastAsia="zh-CN"/>
        </w:rPr>
      </w:pPr>
      <w:r>
        <w:rPr>
          <w:rFonts w:hint="eastAsia" w:ascii="黑体" w:hAnsi="黑体" w:eastAsia="黑体" w:cs="黑体"/>
          <w:sz w:val="32"/>
          <w:szCs w:val="32"/>
          <w:u w:val="none"/>
        </w:rPr>
        <w:t>第三章</w:t>
      </w:r>
      <w:r>
        <w:rPr>
          <w:rFonts w:hint="eastAsia" w:ascii="黑体" w:hAnsi="黑体" w:eastAsia="黑体" w:cs="黑体"/>
          <w:sz w:val="32"/>
          <w:szCs w:val="32"/>
          <w:u w:val="none"/>
          <w:lang w:val="en-US" w:eastAsia="zh-CN"/>
        </w:rPr>
        <w:t xml:space="preserve"> </w:t>
      </w:r>
      <w:r>
        <w:rPr>
          <w:rFonts w:hint="eastAsia" w:ascii="黑体" w:hAnsi="黑体" w:eastAsia="黑体" w:cs="黑体"/>
          <w:sz w:val="32"/>
          <w:szCs w:val="32"/>
          <w:u w:val="none"/>
        </w:rPr>
        <w:t>举办单位</w:t>
      </w:r>
    </w:p>
    <w:p w14:paraId="29A2B5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1762C7E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第十五条</w:t>
      </w:r>
      <w:r>
        <w:rPr>
          <w:rFonts w:hint="eastAsia" w:ascii="仿宋_GB2312" w:hAnsi="仿宋_GB2312" w:eastAsia="仿宋_GB2312" w:cs="仿宋_GB2312"/>
          <w:sz w:val="32"/>
          <w:szCs w:val="32"/>
          <w:u w:val="none"/>
        </w:rPr>
        <w:tab/>
      </w:r>
      <w:r>
        <w:rPr>
          <w:rFonts w:hint="eastAsia" w:ascii="仿宋_GB2312" w:hAnsi="仿宋_GB2312" w:eastAsia="仿宋_GB2312" w:cs="仿宋_GB2312"/>
          <w:sz w:val="32"/>
          <w:szCs w:val="32"/>
          <w:u w:val="none"/>
        </w:rPr>
        <w:t>举办单位对事业单位的权利</w:t>
      </w:r>
    </w:p>
    <w:p w14:paraId="3B17CE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（一）提出本单位的机构编制事项；</w:t>
      </w:r>
    </w:p>
    <w:p w14:paraId="268382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（二）组建本单位管理层；</w:t>
      </w:r>
    </w:p>
    <w:p w14:paraId="012D73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（三）任免本单位的行政负责人及其他主要管理人员；</w:t>
      </w:r>
    </w:p>
    <w:p w14:paraId="5B7DAE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（四）</w:t>
      </w:r>
      <w:r>
        <w:rPr>
          <w:rFonts w:hint="eastAsia" w:ascii="仿宋_GB2312" w:hAnsi="仿宋_GB2312" w:eastAsia="仿宋_GB2312" w:cs="仿宋_GB2312"/>
          <w:sz w:val="32"/>
          <w:szCs w:val="32"/>
          <w:u w:val="none"/>
          <w:lang w:val="en-US" w:eastAsia="zh-CN"/>
        </w:rPr>
        <w:t>审阅、</w:t>
      </w:r>
      <w:r>
        <w:rPr>
          <w:rFonts w:hint="eastAsia" w:ascii="仿宋_GB2312" w:hAnsi="仿宋_GB2312" w:eastAsia="仿宋_GB2312" w:cs="仿宋_GB2312"/>
          <w:sz w:val="32"/>
          <w:szCs w:val="32"/>
          <w:u w:val="none"/>
        </w:rPr>
        <w:t>批准</w:t>
      </w:r>
      <w:r>
        <w:rPr>
          <w:rFonts w:hint="eastAsia" w:ascii="仿宋_GB2312" w:hAnsi="仿宋_GB2312" w:eastAsia="仿宋_GB2312" w:cs="仿宋_GB2312"/>
          <w:sz w:val="32"/>
          <w:szCs w:val="32"/>
          <w:u w:val="none"/>
          <w:lang w:val="en-US" w:eastAsia="zh-CN"/>
        </w:rPr>
        <w:t>本单位</w:t>
      </w:r>
      <w:r>
        <w:rPr>
          <w:rFonts w:hint="eastAsia" w:ascii="仿宋_GB2312" w:hAnsi="仿宋_GB2312" w:eastAsia="仿宋_GB2312" w:cs="仿宋_GB2312"/>
          <w:sz w:val="32"/>
          <w:szCs w:val="32"/>
          <w:u w:val="none"/>
        </w:rPr>
        <w:t>管理层工作报告；</w:t>
      </w:r>
    </w:p>
    <w:p w14:paraId="7B2E70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（五）监督本单位运行；</w:t>
      </w:r>
    </w:p>
    <w:p w14:paraId="63B2F0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（六）组织指导本单位制定章程草案（修订案），负责审核本单位章程草案及修订案；</w:t>
      </w:r>
    </w:p>
    <w:p w14:paraId="17CFC4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（七）负责指导本单位</w:t>
      </w:r>
      <w:r>
        <w:rPr>
          <w:rFonts w:hint="eastAsia" w:ascii="仿宋_GB2312" w:hAnsi="仿宋_GB2312" w:eastAsia="仿宋_GB2312" w:cs="仿宋_GB2312"/>
          <w:sz w:val="32"/>
          <w:szCs w:val="32"/>
          <w:u w:val="none"/>
          <w:lang w:val="en-US" w:eastAsia="zh-CN"/>
        </w:rPr>
        <w:t>在</w:t>
      </w:r>
      <w:r>
        <w:rPr>
          <w:rFonts w:hint="eastAsia" w:ascii="仿宋_GB2312" w:hAnsi="仿宋_GB2312" w:eastAsia="仿宋_GB2312" w:cs="仿宋_GB2312"/>
          <w:sz w:val="32"/>
          <w:szCs w:val="32"/>
          <w:u w:val="none"/>
        </w:rPr>
        <w:t>终止时依法开展清算、办理事业单位法人注销登记，并按照有关规定做好本单位的人员、资产和债权债务处置工作；</w:t>
      </w:r>
    </w:p>
    <w:p w14:paraId="28FF4B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（八）行使法律法规规定的举办单位权利。</w:t>
      </w:r>
    </w:p>
    <w:p w14:paraId="6EDECBF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第十六条</w:t>
      </w:r>
      <w:r>
        <w:rPr>
          <w:rFonts w:hint="eastAsia" w:ascii="仿宋_GB2312" w:hAnsi="仿宋_GB2312" w:eastAsia="仿宋_GB2312" w:cs="仿宋_GB2312"/>
          <w:sz w:val="32"/>
          <w:szCs w:val="32"/>
          <w:u w:val="none"/>
        </w:rPr>
        <w:tab/>
      </w:r>
      <w:r>
        <w:rPr>
          <w:rFonts w:hint="eastAsia" w:ascii="仿宋_GB2312" w:hAnsi="仿宋_GB2312" w:eastAsia="仿宋_GB2312" w:cs="仿宋_GB2312"/>
          <w:sz w:val="32"/>
          <w:szCs w:val="32"/>
          <w:u w:val="none"/>
        </w:rPr>
        <w:t>举办单位对事业单位的义务</w:t>
      </w:r>
    </w:p>
    <w:p w14:paraId="27C83F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（一）指导本单位开展各项业务；</w:t>
      </w:r>
    </w:p>
    <w:p w14:paraId="4CFE6A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（二）及时做好有关政策和文件的传达；</w:t>
      </w:r>
    </w:p>
    <w:p w14:paraId="75D38F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（三）负责做好上级部门交办的其他任务的统筹协调和督办；</w:t>
      </w:r>
    </w:p>
    <w:p w14:paraId="7EC2A8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（四）负责指导本单位</w:t>
      </w:r>
      <w:r>
        <w:rPr>
          <w:rFonts w:hint="eastAsia" w:ascii="仿宋_GB2312" w:hAnsi="仿宋_GB2312" w:eastAsia="仿宋_GB2312" w:cs="仿宋_GB2312"/>
          <w:sz w:val="32"/>
          <w:szCs w:val="32"/>
          <w:u w:val="none"/>
          <w:lang w:val="en-US" w:eastAsia="zh-CN"/>
        </w:rPr>
        <w:t>在</w:t>
      </w:r>
      <w:r>
        <w:rPr>
          <w:rFonts w:hint="eastAsia" w:ascii="仿宋_GB2312" w:hAnsi="仿宋_GB2312" w:eastAsia="仿宋_GB2312" w:cs="仿宋_GB2312"/>
          <w:sz w:val="32"/>
          <w:szCs w:val="32"/>
          <w:u w:val="none"/>
        </w:rPr>
        <w:t>终止时依法开展清算、办理事业单位法人注销登记，并按照有关规定做好本单位的人员、资产、债权债务处置工作；</w:t>
      </w:r>
    </w:p>
    <w:p w14:paraId="26055C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（五）协助登记管理机关调查处理事业单位涉嫌违反国家有关规定和事业单位登记管理有关规定的行为；</w:t>
      </w:r>
    </w:p>
    <w:p w14:paraId="08D639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六</w:t>
      </w:r>
      <w:r>
        <w:rPr>
          <w:rFonts w:hint="eastAsia" w:ascii="仿宋_GB2312" w:hAnsi="仿宋_GB2312" w:eastAsia="仿宋_GB2312" w:cs="仿宋_GB2312"/>
          <w:sz w:val="32"/>
          <w:szCs w:val="32"/>
          <w:u w:val="none"/>
        </w:rPr>
        <w:t>）督促</w:t>
      </w:r>
      <w:r>
        <w:rPr>
          <w:rFonts w:hint="eastAsia" w:ascii="仿宋_GB2312" w:hAnsi="仿宋_GB2312" w:eastAsia="仿宋_GB2312" w:cs="仿宋_GB2312"/>
          <w:sz w:val="32"/>
          <w:szCs w:val="32"/>
          <w:u w:val="none"/>
          <w:lang w:val="en-US" w:eastAsia="zh-CN"/>
        </w:rPr>
        <w:t>本单位</w:t>
      </w:r>
      <w:r>
        <w:rPr>
          <w:rFonts w:hint="eastAsia" w:ascii="仿宋_GB2312" w:hAnsi="仿宋_GB2312" w:eastAsia="仿宋_GB2312" w:cs="仿宋_GB2312"/>
          <w:sz w:val="32"/>
          <w:szCs w:val="32"/>
          <w:u w:val="none"/>
        </w:rPr>
        <w:t>按照事业单位登记管理法律法规和相关政策规定开展登记管理有关工作；</w:t>
      </w:r>
    </w:p>
    <w:p w14:paraId="6DCC3B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七</w:t>
      </w:r>
      <w:r>
        <w:rPr>
          <w:rFonts w:hint="eastAsia" w:ascii="仿宋_GB2312" w:hAnsi="仿宋_GB2312" w:eastAsia="仿宋_GB2312" w:cs="仿宋_GB2312"/>
          <w:sz w:val="32"/>
          <w:szCs w:val="32"/>
          <w:u w:val="none"/>
        </w:rPr>
        <w:t>）监督</w:t>
      </w:r>
      <w:r>
        <w:rPr>
          <w:rFonts w:hint="eastAsia" w:ascii="仿宋_GB2312" w:hAnsi="仿宋_GB2312" w:eastAsia="仿宋_GB2312" w:cs="仿宋_GB2312"/>
          <w:sz w:val="32"/>
          <w:szCs w:val="32"/>
          <w:u w:val="none"/>
          <w:lang w:val="en-US" w:eastAsia="zh-CN"/>
        </w:rPr>
        <w:t>本单位</w:t>
      </w:r>
      <w:r>
        <w:rPr>
          <w:rFonts w:hint="eastAsia" w:ascii="仿宋_GB2312" w:hAnsi="仿宋_GB2312" w:eastAsia="仿宋_GB2312" w:cs="仿宋_GB2312"/>
          <w:sz w:val="32"/>
          <w:szCs w:val="32"/>
          <w:u w:val="none"/>
        </w:rPr>
        <w:t>按照本章程运行；</w:t>
      </w:r>
    </w:p>
    <w:p w14:paraId="0C4297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八</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履行</w:t>
      </w:r>
      <w:r>
        <w:rPr>
          <w:rFonts w:hint="eastAsia" w:ascii="仿宋_GB2312" w:hAnsi="仿宋_GB2312" w:eastAsia="仿宋_GB2312" w:cs="仿宋_GB2312"/>
          <w:sz w:val="32"/>
          <w:szCs w:val="32"/>
          <w:u w:val="none"/>
        </w:rPr>
        <w:t>法律法规规定的举办单位义务</w:t>
      </w:r>
      <w:r>
        <w:rPr>
          <w:rFonts w:hint="eastAsia" w:ascii="仿宋_GB2312" w:hAnsi="仿宋_GB2312" w:eastAsia="仿宋_GB2312" w:cs="仿宋_GB2312"/>
          <w:sz w:val="32"/>
          <w:szCs w:val="32"/>
          <w:u w:val="none"/>
          <w:lang w:eastAsia="zh-CN"/>
        </w:rPr>
        <w:t>。</w:t>
      </w:r>
    </w:p>
    <w:p w14:paraId="33D97B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56927DB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u w:val="none"/>
        </w:rPr>
      </w:pPr>
      <w:r>
        <w:rPr>
          <w:rFonts w:hint="eastAsia" w:ascii="黑体" w:hAnsi="黑体" w:eastAsia="黑体" w:cs="黑体"/>
          <w:sz w:val="32"/>
          <w:szCs w:val="32"/>
          <w:u w:val="none"/>
        </w:rPr>
        <w:t>第四章</w:t>
      </w:r>
      <w:r>
        <w:rPr>
          <w:rFonts w:hint="eastAsia" w:ascii="黑体" w:hAnsi="黑体" w:eastAsia="黑体" w:cs="黑体"/>
          <w:sz w:val="32"/>
          <w:szCs w:val="32"/>
          <w:u w:val="none"/>
          <w:lang w:val="en-US" w:eastAsia="zh-CN"/>
        </w:rPr>
        <w:t xml:space="preserve"> </w:t>
      </w:r>
      <w:r>
        <w:rPr>
          <w:rFonts w:hint="eastAsia" w:ascii="黑体" w:hAnsi="黑体" w:eastAsia="黑体" w:cs="黑体"/>
          <w:sz w:val="32"/>
          <w:szCs w:val="32"/>
          <w:u w:val="none"/>
        </w:rPr>
        <w:t>管理层</w:t>
      </w:r>
    </w:p>
    <w:p w14:paraId="5909E5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4E2348C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第十七条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本单位的决策机构是主任办公会</w:t>
      </w:r>
      <w:r>
        <w:rPr>
          <w:rFonts w:hint="eastAsia" w:ascii="仿宋_GB2312" w:hAnsi="仿宋_GB2312" w:eastAsia="仿宋_GB2312" w:cs="仿宋_GB2312"/>
          <w:sz w:val="32"/>
          <w:szCs w:val="32"/>
          <w:u w:val="none"/>
          <w:lang w:eastAsia="zh-CN"/>
        </w:rPr>
        <w:t>，按其议事规则，对业务运作、行政管理等事项进行审议，作出决定</w:t>
      </w:r>
      <w:r>
        <w:rPr>
          <w:rFonts w:hint="eastAsia" w:ascii="仿宋_GB2312" w:hAnsi="仿宋_GB2312" w:eastAsia="仿宋_GB2312" w:cs="仿宋_GB2312"/>
          <w:sz w:val="32"/>
          <w:szCs w:val="32"/>
          <w:u w:val="none"/>
        </w:rPr>
        <w:t>。</w:t>
      </w:r>
    </w:p>
    <w:p w14:paraId="60E2A27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bCs/>
          <w:sz w:val="32"/>
          <w:szCs w:val="32"/>
          <w:u w:val="none"/>
        </w:rPr>
        <w:t>第十八条</w:t>
      </w:r>
      <w:r>
        <w:rPr>
          <w:rFonts w:hint="eastAsia" w:ascii="仿宋_GB2312" w:hAnsi="仿宋_GB2312" w:eastAsia="仿宋_GB2312" w:cs="仿宋_GB2312"/>
          <w:b/>
          <w:bCs/>
          <w:sz w:val="32"/>
          <w:szCs w:val="32"/>
          <w:u w:val="none"/>
          <w:lang w:val="en-US" w:eastAsia="zh-CN"/>
        </w:rPr>
        <w:t xml:space="preserve"> </w:t>
      </w:r>
      <w:r>
        <w:rPr>
          <w:rFonts w:hint="eastAsia" w:ascii="仿宋_GB2312" w:hAnsi="仿宋_GB2312" w:eastAsia="仿宋_GB2312" w:cs="仿宋_GB2312"/>
          <w:sz w:val="32"/>
          <w:szCs w:val="32"/>
          <w:u w:val="none"/>
          <w:lang w:val="en-US" w:eastAsia="zh-CN"/>
        </w:rPr>
        <w:t>本单位决策机构的职责</w:t>
      </w:r>
    </w:p>
    <w:p w14:paraId="55B945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en-US"/>
        </w:rPr>
      </w:pPr>
      <w:r>
        <w:rPr>
          <w:rFonts w:hint="eastAsia" w:ascii="仿宋_GB2312" w:hAnsi="仿宋_GB2312" w:eastAsia="仿宋_GB2312" w:cs="仿宋_GB2312"/>
          <w:sz w:val="32"/>
          <w:szCs w:val="32"/>
          <w:u w:val="none"/>
          <w:lang w:val="en-US" w:eastAsia="zh-CN"/>
        </w:rPr>
        <w:t>（一）</w:t>
      </w:r>
      <w:r>
        <w:rPr>
          <w:rFonts w:hint="eastAsia" w:ascii="仿宋_GB2312" w:hAnsi="仿宋_GB2312" w:eastAsia="仿宋_GB2312" w:cs="仿宋_GB2312"/>
          <w:sz w:val="32"/>
          <w:szCs w:val="32"/>
          <w:u w:val="none"/>
          <w:lang w:val="en-US" w:eastAsia="en-US"/>
        </w:rPr>
        <w:t>接受党的领导，贯彻执行党的方针政策和决策部署；</w:t>
      </w:r>
    </w:p>
    <w:p w14:paraId="2C637B1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en-US"/>
        </w:rPr>
      </w:pPr>
      <w:r>
        <w:rPr>
          <w:rFonts w:hint="eastAsia" w:ascii="仿宋_GB2312" w:hAnsi="仿宋_GB2312" w:eastAsia="仿宋_GB2312" w:cs="仿宋_GB2312"/>
          <w:sz w:val="32"/>
          <w:szCs w:val="32"/>
          <w:u w:val="none"/>
          <w:lang w:val="en-US" w:eastAsia="zh-CN"/>
        </w:rPr>
        <w:t>（二）</w:t>
      </w:r>
      <w:r>
        <w:rPr>
          <w:rFonts w:hint="eastAsia" w:ascii="仿宋_GB2312" w:hAnsi="仿宋_GB2312" w:eastAsia="仿宋_GB2312" w:cs="仿宋_GB2312"/>
          <w:sz w:val="32"/>
          <w:szCs w:val="32"/>
          <w:u w:val="none"/>
          <w:lang w:val="en-US" w:eastAsia="en-US"/>
        </w:rPr>
        <w:t>拟定和实施年度工作计划等日常业务管理；</w:t>
      </w:r>
    </w:p>
    <w:p w14:paraId="06EAB0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en-US"/>
        </w:rPr>
      </w:pPr>
      <w:r>
        <w:rPr>
          <w:rFonts w:hint="eastAsia" w:ascii="仿宋_GB2312" w:hAnsi="仿宋_GB2312" w:eastAsia="仿宋_GB2312" w:cs="仿宋_GB2312"/>
          <w:sz w:val="32"/>
          <w:szCs w:val="32"/>
          <w:u w:val="none"/>
          <w:lang w:val="en-US" w:eastAsia="zh-CN"/>
        </w:rPr>
        <w:t>（三）</w:t>
      </w:r>
      <w:r>
        <w:rPr>
          <w:rFonts w:hint="eastAsia" w:ascii="仿宋_GB2312" w:hAnsi="仿宋_GB2312" w:eastAsia="仿宋_GB2312" w:cs="仿宋_GB2312"/>
          <w:sz w:val="32"/>
          <w:szCs w:val="32"/>
          <w:u w:val="none"/>
          <w:lang w:val="en-US" w:eastAsia="en-US"/>
        </w:rPr>
        <w:t>组织实施经费预算等财务资产管理；</w:t>
      </w:r>
    </w:p>
    <w:p w14:paraId="782106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en-US"/>
        </w:rPr>
      </w:pPr>
      <w:r>
        <w:rPr>
          <w:rFonts w:hint="eastAsia" w:ascii="仿宋_GB2312" w:hAnsi="仿宋_GB2312" w:eastAsia="仿宋_GB2312" w:cs="仿宋_GB2312"/>
          <w:sz w:val="32"/>
          <w:szCs w:val="32"/>
          <w:u w:val="none"/>
          <w:lang w:val="en-US" w:eastAsia="zh-CN"/>
        </w:rPr>
        <w:t>（四）</w:t>
      </w:r>
      <w:r>
        <w:rPr>
          <w:rFonts w:hint="eastAsia" w:ascii="仿宋_GB2312" w:hAnsi="仿宋_GB2312" w:eastAsia="仿宋_GB2312" w:cs="仿宋_GB2312"/>
          <w:sz w:val="32"/>
          <w:szCs w:val="32"/>
          <w:u w:val="none"/>
          <w:lang w:val="en-US" w:eastAsia="en-US"/>
        </w:rPr>
        <w:t>工作人员管理；</w:t>
      </w:r>
    </w:p>
    <w:p w14:paraId="006C80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en-US"/>
        </w:rPr>
      </w:pPr>
      <w:r>
        <w:rPr>
          <w:rFonts w:hint="eastAsia" w:ascii="仿宋_GB2312" w:hAnsi="仿宋_GB2312" w:eastAsia="仿宋_GB2312" w:cs="仿宋_GB2312"/>
          <w:sz w:val="32"/>
          <w:szCs w:val="32"/>
          <w:u w:val="none"/>
          <w:lang w:val="en-US" w:eastAsia="zh-CN"/>
        </w:rPr>
        <w:t>（五）</w:t>
      </w:r>
      <w:r>
        <w:rPr>
          <w:rFonts w:hint="eastAsia" w:ascii="仿宋_GB2312" w:hAnsi="仿宋_GB2312" w:eastAsia="仿宋_GB2312" w:cs="仿宋_GB2312"/>
          <w:sz w:val="32"/>
          <w:szCs w:val="32"/>
          <w:u w:val="none"/>
          <w:lang w:val="en-US" w:eastAsia="en-US"/>
        </w:rPr>
        <w:t>定期向</w:t>
      </w:r>
      <w:r>
        <w:rPr>
          <w:rFonts w:hint="eastAsia" w:ascii="仿宋_GB2312" w:hAnsi="仿宋_GB2312" w:eastAsia="仿宋_GB2312" w:cs="仿宋_GB2312"/>
          <w:sz w:val="32"/>
          <w:szCs w:val="32"/>
          <w:u w:val="none"/>
          <w:lang w:val="en-US" w:eastAsia="zh-CN"/>
        </w:rPr>
        <w:t>本单位党组织以及举办单位等上级党组织</w:t>
      </w:r>
      <w:r>
        <w:rPr>
          <w:rFonts w:hint="eastAsia" w:ascii="仿宋_GB2312" w:hAnsi="仿宋_GB2312" w:eastAsia="仿宋_GB2312" w:cs="仿宋_GB2312"/>
          <w:sz w:val="32"/>
          <w:szCs w:val="32"/>
          <w:u w:val="none"/>
          <w:lang w:val="en-US" w:eastAsia="en-US"/>
        </w:rPr>
        <w:t>汇报工作；</w:t>
      </w:r>
    </w:p>
    <w:p w14:paraId="3BC8FB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en-US"/>
        </w:rPr>
      </w:pPr>
      <w:r>
        <w:rPr>
          <w:rFonts w:hint="eastAsia" w:ascii="仿宋_GB2312" w:hAnsi="仿宋_GB2312" w:eastAsia="仿宋_GB2312" w:cs="仿宋_GB2312"/>
          <w:sz w:val="32"/>
          <w:szCs w:val="32"/>
          <w:u w:val="none"/>
          <w:lang w:val="en-US" w:eastAsia="zh-CN"/>
        </w:rPr>
        <w:t>（六）</w:t>
      </w:r>
      <w:r>
        <w:rPr>
          <w:rFonts w:hint="eastAsia" w:ascii="仿宋_GB2312" w:hAnsi="仿宋_GB2312" w:eastAsia="仿宋_GB2312" w:cs="仿宋_GB2312"/>
          <w:sz w:val="32"/>
          <w:szCs w:val="32"/>
          <w:u w:val="none"/>
          <w:lang w:val="en-US" w:eastAsia="en-US"/>
        </w:rPr>
        <w:t>负责筹建章程起草（修订）组织，拟制本单位章程草案（修订案）；</w:t>
      </w:r>
    </w:p>
    <w:p w14:paraId="40D6960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en-US"/>
        </w:rPr>
      </w:pPr>
      <w:r>
        <w:rPr>
          <w:rFonts w:hint="eastAsia" w:ascii="仿宋_GB2312" w:hAnsi="仿宋_GB2312" w:eastAsia="仿宋_GB2312" w:cs="仿宋_GB2312"/>
          <w:sz w:val="32"/>
          <w:szCs w:val="32"/>
          <w:u w:val="none"/>
          <w:lang w:val="en-US" w:eastAsia="zh-CN"/>
        </w:rPr>
        <w:t>（七）</w:t>
      </w:r>
      <w:r>
        <w:rPr>
          <w:rFonts w:hint="eastAsia" w:ascii="仿宋_GB2312" w:hAnsi="仿宋_GB2312" w:eastAsia="仿宋_GB2312" w:cs="仿宋_GB2312"/>
          <w:sz w:val="32"/>
          <w:szCs w:val="32"/>
          <w:u w:val="none"/>
          <w:lang w:val="en-US" w:eastAsia="en-US"/>
        </w:rPr>
        <w:t>建立健全各项内部管理制度；</w:t>
      </w:r>
    </w:p>
    <w:p w14:paraId="28EA97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en-US"/>
        </w:rPr>
      </w:pPr>
      <w:r>
        <w:rPr>
          <w:rFonts w:hint="eastAsia" w:ascii="仿宋_GB2312" w:hAnsi="仿宋_GB2312" w:eastAsia="仿宋_GB2312" w:cs="仿宋_GB2312"/>
          <w:sz w:val="32"/>
          <w:szCs w:val="32"/>
          <w:u w:val="none"/>
          <w:lang w:val="en-US" w:eastAsia="zh-CN"/>
        </w:rPr>
        <w:t>（八）</w:t>
      </w:r>
      <w:r>
        <w:rPr>
          <w:rFonts w:hint="eastAsia" w:ascii="仿宋_GB2312" w:hAnsi="仿宋_GB2312" w:eastAsia="仿宋_GB2312" w:cs="仿宋_GB2312"/>
          <w:sz w:val="32"/>
          <w:szCs w:val="32"/>
          <w:u w:val="none"/>
          <w:lang w:val="en-US" w:eastAsia="en-US"/>
        </w:rPr>
        <w:t>完成</w:t>
      </w:r>
      <w:r>
        <w:rPr>
          <w:rFonts w:hint="eastAsia" w:ascii="仿宋_GB2312" w:hAnsi="仿宋_GB2312" w:eastAsia="仿宋_GB2312" w:cs="仿宋_GB2312"/>
          <w:sz w:val="32"/>
          <w:szCs w:val="32"/>
          <w:u w:val="none"/>
          <w:lang w:val="en-US" w:eastAsia="zh-CN"/>
        </w:rPr>
        <w:t>举办单位</w:t>
      </w:r>
      <w:r>
        <w:rPr>
          <w:rFonts w:hint="eastAsia" w:ascii="仿宋_GB2312" w:hAnsi="仿宋_GB2312" w:eastAsia="仿宋_GB2312" w:cs="仿宋_GB2312"/>
          <w:sz w:val="32"/>
          <w:szCs w:val="32"/>
          <w:u w:val="none"/>
          <w:lang w:val="en-US" w:eastAsia="en-US"/>
        </w:rPr>
        <w:t>交办的各项任务；</w:t>
      </w:r>
    </w:p>
    <w:p w14:paraId="76A5FE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en-US"/>
        </w:rPr>
      </w:pPr>
      <w:r>
        <w:rPr>
          <w:rFonts w:hint="eastAsia" w:ascii="仿宋_GB2312" w:hAnsi="仿宋_GB2312" w:eastAsia="仿宋_GB2312" w:cs="仿宋_GB2312"/>
          <w:sz w:val="32"/>
          <w:szCs w:val="32"/>
          <w:u w:val="none"/>
          <w:lang w:val="en-US" w:eastAsia="zh-CN"/>
        </w:rPr>
        <w:t>（九）</w:t>
      </w:r>
      <w:r>
        <w:rPr>
          <w:rFonts w:hint="eastAsia" w:ascii="仿宋_GB2312" w:hAnsi="仿宋_GB2312" w:eastAsia="仿宋_GB2312" w:cs="仿宋_GB2312"/>
          <w:sz w:val="32"/>
          <w:szCs w:val="32"/>
          <w:u w:val="none"/>
          <w:lang w:val="en-US" w:eastAsia="en-US"/>
        </w:rPr>
        <w:t>负责</w:t>
      </w:r>
      <w:r>
        <w:rPr>
          <w:rFonts w:hint="eastAsia" w:ascii="仿宋_GB2312" w:hAnsi="仿宋_GB2312" w:eastAsia="仿宋_GB2312" w:cs="仿宋_GB2312"/>
          <w:sz w:val="32"/>
          <w:szCs w:val="32"/>
          <w:u w:val="none"/>
          <w:lang w:val="en-US" w:eastAsia="zh-CN"/>
        </w:rPr>
        <w:t>在</w:t>
      </w:r>
      <w:r>
        <w:rPr>
          <w:rFonts w:hint="eastAsia" w:ascii="仿宋_GB2312" w:hAnsi="仿宋_GB2312" w:eastAsia="仿宋_GB2312" w:cs="仿宋_GB2312"/>
          <w:sz w:val="32"/>
          <w:szCs w:val="32"/>
          <w:u w:val="none"/>
          <w:lang w:val="en-US" w:eastAsia="en-US"/>
        </w:rPr>
        <w:t>本单位终止时依法开展清算、办理事业单位法人注销登记；</w:t>
      </w:r>
    </w:p>
    <w:p w14:paraId="5F7B8F9A">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（十）举办单位</w:t>
      </w:r>
      <w:r>
        <w:rPr>
          <w:rFonts w:hint="eastAsia" w:ascii="仿宋_GB2312" w:hAnsi="仿宋_GB2312" w:eastAsia="仿宋_GB2312" w:cs="仿宋_GB2312"/>
          <w:sz w:val="32"/>
          <w:szCs w:val="32"/>
          <w:u w:val="none"/>
          <w:lang w:val="en-US" w:eastAsia="en-US"/>
        </w:rPr>
        <w:t>赋予的其他职权</w:t>
      </w:r>
      <w:r>
        <w:rPr>
          <w:rFonts w:hint="eastAsia" w:ascii="仿宋_GB2312" w:hAnsi="仿宋_GB2312" w:eastAsia="仿宋_GB2312" w:cs="仿宋_GB2312"/>
          <w:sz w:val="32"/>
          <w:szCs w:val="32"/>
          <w:u w:val="none"/>
          <w:lang w:val="en-US" w:eastAsia="zh-CN"/>
        </w:rPr>
        <w:t>。</w:t>
      </w:r>
    </w:p>
    <w:p w14:paraId="668ECBE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第十九条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行政负责人的产生方式和职权</w:t>
      </w:r>
    </w:p>
    <w:p w14:paraId="7C8789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en-US"/>
        </w:rPr>
      </w:pPr>
      <w:r>
        <w:rPr>
          <w:rFonts w:hint="eastAsia" w:ascii="仿宋_GB2312" w:hAnsi="仿宋_GB2312" w:eastAsia="仿宋_GB2312" w:cs="仿宋_GB2312"/>
          <w:sz w:val="32"/>
          <w:szCs w:val="32"/>
          <w:u w:val="none"/>
          <w:lang w:eastAsia="zh-CN"/>
        </w:rPr>
        <w:t>本单位主要行政负责人为中心主任，中心主任由举办单位</w:t>
      </w:r>
      <w:r>
        <w:rPr>
          <w:rFonts w:hint="eastAsia" w:ascii="仿宋_GB2312" w:hAnsi="仿宋_GB2312" w:eastAsia="仿宋_GB2312" w:cs="仿宋_GB2312"/>
          <w:sz w:val="32"/>
          <w:szCs w:val="32"/>
          <w:u w:val="none"/>
          <w:lang w:val="en-US" w:eastAsia="zh-CN"/>
        </w:rPr>
        <w:t>按照干部管理权限</w:t>
      </w:r>
      <w:r>
        <w:rPr>
          <w:rFonts w:hint="eastAsia" w:ascii="仿宋_GB2312" w:hAnsi="仿宋_GB2312" w:eastAsia="仿宋_GB2312" w:cs="仿宋_GB2312"/>
          <w:sz w:val="32"/>
          <w:szCs w:val="32"/>
          <w:u w:val="none"/>
          <w:lang w:eastAsia="zh-CN"/>
        </w:rPr>
        <w:t>任免</w:t>
      </w:r>
      <w:r>
        <w:rPr>
          <w:rFonts w:hint="eastAsia" w:ascii="仿宋_GB2312" w:hAnsi="仿宋_GB2312" w:eastAsia="仿宋_GB2312" w:cs="仿宋_GB2312"/>
          <w:sz w:val="32"/>
          <w:szCs w:val="32"/>
          <w:u w:val="none"/>
          <w:lang w:val="en-US" w:eastAsia="zh-CN"/>
        </w:rPr>
        <w:t>/聘用</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行使下列职权：</w:t>
      </w:r>
    </w:p>
    <w:p w14:paraId="64D487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（一）负责本单位业务工作；</w:t>
      </w:r>
    </w:p>
    <w:p w14:paraId="38AC01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（二）负责管理本单位的日常事务；</w:t>
      </w:r>
    </w:p>
    <w:p w14:paraId="48E35F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（三）负责本单位的人</w:t>
      </w:r>
      <w:r>
        <w:rPr>
          <w:rFonts w:hint="eastAsia" w:ascii="仿宋_GB2312" w:hAnsi="仿宋_GB2312" w:eastAsia="仿宋_GB2312" w:cs="仿宋_GB2312"/>
          <w:sz w:val="32"/>
          <w:szCs w:val="32"/>
          <w:u w:val="none"/>
          <w:lang w:val="en-US" w:eastAsia="zh-CN"/>
        </w:rPr>
        <w:t>员</w:t>
      </w:r>
      <w:r>
        <w:rPr>
          <w:rFonts w:hint="eastAsia" w:ascii="仿宋_GB2312" w:hAnsi="仿宋_GB2312" w:eastAsia="仿宋_GB2312" w:cs="仿宋_GB2312"/>
          <w:sz w:val="32"/>
          <w:szCs w:val="32"/>
          <w:u w:val="none"/>
        </w:rPr>
        <w:t>、财务、资产等管理；</w:t>
      </w:r>
    </w:p>
    <w:p w14:paraId="7F5A69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（四）法律法规和本章程规定的其他职责。</w:t>
      </w:r>
    </w:p>
    <w:p w14:paraId="6A62886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第二十条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本单位拟任法定代表人产生方式</w:t>
      </w:r>
    </w:p>
    <w:p w14:paraId="52504E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本单位拟任法定代表人一般为主要行政负责人，经登记管理机关核准登记后，取得本单位法定代表人资格。</w:t>
      </w:r>
    </w:p>
    <w:p w14:paraId="6AEE2F4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b/>
          <w:bCs/>
          <w:sz w:val="32"/>
          <w:szCs w:val="32"/>
          <w:u w:val="none"/>
        </w:rPr>
        <w:t>第二十一条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本单位内部组织机构设置及产生程序、议事规</w:t>
      </w:r>
      <w:r>
        <w:rPr>
          <w:rFonts w:hint="eastAsia" w:ascii="仿宋_GB2312" w:hAnsi="仿宋_GB2312" w:eastAsia="仿宋_GB2312" w:cs="仿宋_GB2312"/>
          <w:sz w:val="32"/>
          <w:szCs w:val="32"/>
          <w:u w:val="none"/>
          <w:lang w:eastAsia="zh-CN"/>
        </w:rPr>
        <w:t>则</w:t>
      </w:r>
    </w:p>
    <w:p w14:paraId="3081C2A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（一）机构设置：设</w:t>
      </w:r>
      <w:r>
        <w:rPr>
          <w:rFonts w:hint="eastAsia" w:ascii="仿宋_GB2312" w:hAnsi="仿宋_GB2312" w:eastAsia="仿宋_GB2312" w:cs="仿宋_GB2312"/>
          <w:sz w:val="32"/>
          <w:szCs w:val="32"/>
          <w:u w:val="none"/>
          <w:lang w:val="en-US" w:eastAsia="zh-CN"/>
        </w:rPr>
        <w:t>综合科</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网络科</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产业信息科</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信息运行科共4</w:t>
      </w:r>
      <w:r>
        <w:rPr>
          <w:rFonts w:hint="eastAsia" w:ascii="仿宋_GB2312" w:hAnsi="仿宋_GB2312" w:eastAsia="仿宋_GB2312" w:cs="仿宋_GB2312"/>
          <w:sz w:val="32"/>
          <w:szCs w:val="32"/>
          <w:u w:val="none"/>
        </w:rPr>
        <w:t>个内设机构</w:t>
      </w:r>
      <w:r>
        <w:rPr>
          <w:rFonts w:hint="eastAsia" w:ascii="仿宋_GB2312" w:hAnsi="仿宋_GB2312" w:eastAsia="仿宋_GB2312" w:cs="仿宋_GB2312"/>
          <w:sz w:val="32"/>
          <w:szCs w:val="32"/>
          <w:u w:val="none"/>
          <w:lang w:eastAsia="zh-CN"/>
        </w:rPr>
        <w:t>；</w:t>
      </w:r>
    </w:p>
    <w:p w14:paraId="3FE65C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（二）产生程序：内设机构依据《</w:t>
      </w:r>
      <w:r>
        <w:rPr>
          <w:rFonts w:hint="eastAsia" w:ascii="仿宋_GB2312" w:hAnsi="仿宋_GB2312" w:eastAsia="仿宋_GB2312" w:cs="仿宋_GB2312"/>
          <w:sz w:val="32"/>
          <w:szCs w:val="32"/>
          <w:u w:val="none"/>
          <w:lang w:val="en-US" w:eastAsia="zh-CN"/>
        </w:rPr>
        <w:t>中山市信息中心机构编制方案</w:t>
      </w:r>
      <w:r>
        <w:rPr>
          <w:rFonts w:hint="eastAsia" w:ascii="仿宋_GB2312" w:hAnsi="仿宋_GB2312" w:eastAsia="仿宋_GB2312" w:cs="仿宋_GB2312"/>
          <w:sz w:val="32"/>
          <w:szCs w:val="32"/>
          <w:u w:val="none"/>
        </w:rPr>
        <w:t>》（中机编〔2011〕294号）</w:t>
      </w:r>
      <w:r>
        <w:rPr>
          <w:rFonts w:hint="eastAsia" w:ascii="仿宋_GB2312" w:hAnsi="仿宋_GB2312" w:eastAsia="仿宋_GB2312" w:cs="仿宋_GB2312"/>
          <w:sz w:val="32"/>
          <w:szCs w:val="32"/>
          <w:u w:val="none"/>
          <w:lang w:val="en-US" w:eastAsia="zh-CN"/>
        </w:rPr>
        <w:t>等</w:t>
      </w:r>
      <w:r>
        <w:rPr>
          <w:rFonts w:hint="eastAsia" w:ascii="仿宋_GB2312" w:hAnsi="仿宋_GB2312" w:eastAsia="仿宋_GB2312" w:cs="仿宋_GB2312"/>
          <w:sz w:val="32"/>
          <w:szCs w:val="32"/>
          <w:u w:val="none"/>
        </w:rPr>
        <w:t>设定</w:t>
      </w:r>
      <w:r>
        <w:rPr>
          <w:rFonts w:hint="eastAsia" w:ascii="仿宋_GB2312" w:hAnsi="仿宋_GB2312" w:eastAsia="仿宋_GB2312" w:cs="仿宋_GB2312"/>
          <w:sz w:val="32"/>
          <w:szCs w:val="32"/>
          <w:u w:val="none"/>
          <w:lang w:eastAsia="zh-CN"/>
        </w:rPr>
        <w:t>；</w:t>
      </w:r>
    </w:p>
    <w:p w14:paraId="4F4CDEE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（三）议事规则：各</w:t>
      </w:r>
      <w:r>
        <w:rPr>
          <w:rFonts w:hint="eastAsia" w:ascii="仿宋_GB2312" w:hAnsi="仿宋_GB2312" w:eastAsia="仿宋_GB2312" w:cs="仿宋_GB2312"/>
          <w:sz w:val="32"/>
          <w:szCs w:val="32"/>
          <w:u w:val="none"/>
          <w:lang w:val="en-US" w:eastAsia="zh-CN"/>
        </w:rPr>
        <w:t>科室</w:t>
      </w:r>
      <w:r>
        <w:rPr>
          <w:rFonts w:hint="eastAsia" w:ascii="仿宋_GB2312" w:hAnsi="仿宋_GB2312" w:eastAsia="仿宋_GB2312" w:cs="仿宋_GB2312"/>
          <w:sz w:val="32"/>
          <w:szCs w:val="32"/>
          <w:u w:val="none"/>
        </w:rPr>
        <w:t>在本单位党支部委员会及</w:t>
      </w:r>
      <w:r>
        <w:rPr>
          <w:rFonts w:hint="eastAsia" w:ascii="仿宋_GB2312" w:hAnsi="仿宋_GB2312" w:eastAsia="仿宋_GB2312" w:cs="仿宋_GB2312"/>
          <w:sz w:val="32"/>
          <w:szCs w:val="32"/>
          <w:u w:val="none"/>
          <w:lang w:val="en-US" w:eastAsia="zh-CN"/>
        </w:rPr>
        <w:t>主任办公会</w:t>
      </w:r>
      <w:r>
        <w:rPr>
          <w:rFonts w:hint="eastAsia" w:ascii="仿宋_GB2312" w:hAnsi="仿宋_GB2312" w:eastAsia="仿宋_GB2312" w:cs="仿宋_GB2312"/>
          <w:sz w:val="32"/>
          <w:szCs w:val="32"/>
          <w:u w:val="none"/>
        </w:rPr>
        <w:t>的领导和监督下开展工作，各</w:t>
      </w:r>
      <w:r>
        <w:rPr>
          <w:rFonts w:hint="eastAsia" w:ascii="仿宋_GB2312" w:hAnsi="仿宋_GB2312" w:eastAsia="仿宋_GB2312" w:cs="仿宋_GB2312"/>
          <w:sz w:val="32"/>
          <w:szCs w:val="32"/>
          <w:u w:val="none"/>
          <w:lang w:val="en-US" w:eastAsia="zh-CN"/>
        </w:rPr>
        <w:t>科室</w:t>
      </w:r>
      <w:r>
        <w:rPr>
          <w:rFonts w:hint="eastAsia" w:ascii="仿宋_GB2312" w:hAnsi="仿宋_GB2312" w:eastAsia="仿宋_GB2312" w:cs="仿宋_GB2312"/>
          <w:sz w:val="32"/>
          <w:szCs w:val="32"/>
          <w:u w:val="none"/>
        </w:rPr>
        <w:t>在</w:t>
      </w:r>
      <w:r>
        <w:rPr>
          <w:rFonts w:hint="eastAsia" w:ascii="仿宋_GB2312" w:hAnsi="仿宋_GB2312" w:eastAsia="仿宋_GB2312" w:cs="仿宋_GB2312"/>
          <w:sz w:val="32"/>
          <w:szCs w:val="32"/>
          <w:u w:val="none"/>
          <w:lang w:val="en-US" w:eastAsia="zh-CN"/>
        </w:rPr>
        <w:t>科室</w:t>
      </w:r>
      <w:r>
        <w:rPr>
          <w:rFonts w:hint="eastAsia" w:ascii="仿宋_GB2312" w:hAnsi="仿宋_GB2312" w:eastAsia="仿宋_GB2312" w:cs="仿宋_GB2312"/>
          <w:sz w:val="32"/>
          <w:szCs w:val="32"/>
          <w:u w:val="none"/>
        </w:rPr>
        <w:t>负责人的管理下开展工作。</w:t>
      </w:r>
    </w:p>
    <w:p w14:paraId="26F85E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113FE85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u w:val="none"/>
        </w:rPr>
      </w:pPr>
      <w:r>
        <w:rPr>
          <w:rFonts w:hint="eastAsia" w:ascii="黑体" w:hAnsi="黑体" w:eastAsia="黑体" w:cs="黑体"/>
          <w:sz w:val="32"/>
          <w:szCs w:val="32"/>
          <w:u w:val="none"/>
        </w:rPr>
        <w:t>第五章</w:t>
      </w:r>
      <w:r>
        <w:rPr>
          <w:rFonts w:hint="eastAsia" w:ascii="黑体" w:hAnsi="黑体" w:eastAsia="黑体" w:cs="黑体"/>
          <w:sz w:val="32"/>
          <w:szCs w:val="32"/>
          <w:u w:val="none"/>
          <w:lang w:val="en-US" w:eastAsia="zh-CN"/>
        </w:rPr>
        <w:t xml:space="preserve"> </w:t>
      </w:r>
      <w:r>
        <w:rPr>
          <w:rFonts w:hint="eastAsia" w:ascii="黑体" w:hAnsi="黑体" w:eastAsia="黑体" w:cs="黑体"/>
          <w:sz w:val="32"/>
          <w:szCs w:val="32"/>
          <w:u w:val="none"/>
        </w:rPr>
        <w:t>服务对象</w:t>
      </w:r>
    </w:p>
    <w:p w14:paraId="38F330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4FE01A0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第二十二条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本单位服务对象的权利</w:t>
      </w:r>
    </w:p>
    <w:p w14:paraId="2CA40D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u w:val="none"/>
          <w:lang w:val="en-US" w:eastAsia="zh-CN"/>
        </w:rPr>
      </w:pPr>
      <w:r>
        <w:rPr>
          <w:rFonts w:hint="eastAsia" w:ascii="仿宋_GB2312" w:hAnsi="仿宋_GB2312" w:eastAsia="仿宋_GB2312" w:cs="仿宋_GB2312"/>
          <w:sz w:val="32"/>
          <w:szCs w:val="32"/>
          <w:u w:val="none"/>
          <w:lang w:val="en-US" w:eastAsia="zh-CN"/>
        </w:rPr>
        <w:t>按照法律法规、规章和规范性文件等有关规定，申请相应的信息技术支撑服务，对本单位提供的服务质量、服务水平进行监督并提出建议意见的权利。</w:t>
      </w:r>
    </w:p>
    <w:p w14:paraId="243A2F0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第二十三条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本单位服务对象的义务</w:t>
      </w:r>
    </w:p>
    <w:p w14:paraId="0B38EC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按照法律、法规、规章和规范性文件等有关规定，以及行业有关规范，支持、配合本单位开展履行职责活动。</w:t>
      </w:r>
    </w:p>
    <w:p w14:paraId="43229E3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第二十四条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本单位服务对象参与管理的具体途径、方式和运行机制</w:t>
      </w:r>
    </w:p>
    <w:p w14:paraId="0CB44A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服务对象可以通过直接或间接的口头表述以及署名文字表述（信函、意见或建议书）等方式对本单位的管理提出建议或批评意见、反映违纪违法问题，本单位根据相关法律、法规、规章、规范性文件进行处理。</w:t>
      </w:r>
    </w:p>
    <w:p w14:paraId="673C85F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u w:val="none"/>
        </w:rPr>
      </w:pPr>
    </w:p>
    <w:p w14:paraId="5707ED3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u w:val="none"/>
        </w:rPr>
      </w:pPr>
      <w:r>
        <w:rPr>
          <w:rFonts w:hint="eastAsia" w:ascii="黑体" w:hAnsi="黑体" w:eastAsia="黑体" w:cs="黑体"/>
          <w:sz w:val="32"/>
          <w:szCs w:val="32"/>
          <w:u w:val="none"/>
        </w:rPr>
        <w:t>第六章</w:t>
      </w:r>
      <w:r>
        <w:rPr>
          <w:rFonts w:hint="eastAsia" w:ascii="黑体" w:hAnsi="黑体" w:eastAsia="黑体" w:cs="黑体"/>
          <w:sz w:val="32"/>
          <w:szCs w:val="32"/>
          <w:u w:val="none"/>
          <w:lang w:val="en-US" w:eastAsia="zh-CN"/>
        </w:rPr>
        <w:t xml:space="preserve"> </w:t>
      </w:r>
      <w:r>
        <w:rPr>
          <w:rFonts w:hint="eastAsia" w:ascii="黑体" w:hAnsi="黑体" w:eastAsia="黑体" w:cs="黑体"/>
          <w:sz w:val="32"/>
          <w:szCs w:val="32"/>
          <w:u w:val="none"/>
        </w:rPr>
        <w:t>业务运行</w:t>
      </w:r>
    </w:p>
    <w:p w14:paraId="2C93EA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0C13C6A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第二十五条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本单位业务运行原则和办法</w:t>
      </w:r>
    </w:p>
    <w:p w14:paraId="57A5A2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贯彻落实上级有关工作部署，在核定职能范围内依法依规开展本单位业务工作。</w:t>
      </w:r>
    </w:p>
    <w:p w14:paraId="191085A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第二十六条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业务范围内开展业务运行的具体措施</w:t>
      </w:r>
    </w:p>
    <w:p w14:paraId="7EF84E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一</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加强政务信息化基础设施管理：建设、运维和管理我市电子政务外网、电子政务云平台、电子政务外网安全运维中心等核心政务信息化基础设施；保障我市电子政务外网省市互联，维护市委市府机关大院办公网络（含机房、设备间）的日常运维管理和重点保障工作；依托市电子政务外网安全运维中心，开展实施电子政务外网日常安全风险7×24小时的安全风险预警监测、应急处置等工作；</w:t>
      </w:r>
    </w:p>
    <w:p w14:paraId="38F40F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（二）加强重点应用系统管理：建设、运维和管理以及推广应用全市性综合办公系统平台，并提供技术指导和咨询服务，定期开展业务培训；建设、运维和管理上级交办的其他的全市性、跨部门重要系统平台；</w:t>
      </w:r>
    </w:p>
    <w:p w14:paraId="29B9057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（三）加强全市政府网站和</w:t>
      </w:r>
      <w:r>
        <w:rPr>
          <w:rFonts w:hint="eastAsia" w:ascii="仿宋_GB2312" w:eastAsia="仿宋_GB2312"/>
          <w:sz w:val="32"/>
          <w:szCs w:val="32"/>
          <w:u w:val="none"/>
        </w:rPr>
        <w:t>政务新媒体</w:t>
      </w:r>
      <w:r>
        <w:rPr>
          <w:rFonts w:hint="eastAsia" w:ascii="仿宋_GB2312" w:hAnsi="仿宋_GB2312" w:eastAsia="仿宋_GB2312" w:cs="仿宋_GB2312"/>
          <w:sz w:val="32"/>
          <w:szCs w:val="32"/>
          <w:u w:val="none"/>
          <w:lang w:val="en-US" w:eastAsia="zh-CN"/>
        </w:rPr>
        <w:t>信息管理：</w:t>
      </w:r>
      <w:r>
        <w:rPr>
          <w:rFonts w:hint="eastAsia" w:ascii="仿宋_GB2312" w:eastAsia="仿宋_GB2312"/>
          <w:sz w:val="32"/>
          <w:szCs w:val="32"/>
          <w:u w:val="none"/>
        </w:rPr>
        <w:t>建设</w:t>
      </w:r>
      <w:r>
        <w:rPr>
          <w:rFonts w:hint="eastAsia" w:ascii="仿宋_GB2312" w:eastAsia="仿宋_GB2312"/>
          <w:sz w:val="32"/>
          <w:szCs w:val="32"/>
          <w:u w:val="none"/>
          <w:lang w:eastAsia="zh-CN"/>
        </w:rPr>
        <w:t>、</w:t>
      </w:r>
      <w:r>
        <w:rPr>
          <w:rFonts w:hint="eastAsia" w:ascii="仿宋_GB2312" w:eastAsia="仿宋_GB2312"/>
          <w:sz w:val="32"/>
          <w:szCs w:val="32"/>
          <w:u w:val="none"/>
        </w:rPr>
        <w:t>运维</w:t>
      </w:r>
      <w:r>
        <w:rPr>
          <w:rFonts w:hint="eastAsia" w:ascii="仿宋_GB2312" w:eastAsia="仿宋_GB2312"/>
          <w:sz w:val="32"/>
          <w:szCs w:val="32"/>
          <w:u w:val="none"/>
          <w:lang w:val="en-US" w:eastAsia="zh-CN"/>
        </w:rPr>
        <w:t>和</w:t>
      </w:r>
      <w:r>
        <w:rPr>
          <w:rFonts w:hint="eastAsia" w:ascii="仿宋_GB2312" w:eastAsia="仿宋_GB2312"/>
          <w:sz w:val="32"/>
          <w:szCs w:val="32"/>
          <w:u w:val="none"/>
        </w:rPr>
        <w:t>管理市政府门户网站、政府网站集约化平台；监测</w:t>
      </w:r>
      <w:r>
        <w:rPr>
          <w:rFonts w:hint="eastAsia" w:ascii="仿宋_GB2312" w:eastAsia="仿宋_GB2312"/>
          <w:sz w:val="32"/>
          <w:szCs w:val="32"/>
          <w:u w:val="none"/>
          <w:lang w:val="en-US" w:eastAsia="zh-CN"/>
        </w:rPr>
        <w:t>市直</w:t>
      </w:r>
      <w:r>
        <w:rPr>
          <w:rFonts w:hint="eastAsia" w:ascii="仿宋_GB2312" w:eastAsia="仿宋_GB2312"/>
          <w:sz w:val="32"/>
          <w:szCs w:val="32"/>
          <w:u w:val="none"/>
        </w:rPr>
        <w:t>部门、镇街政府网站及政务新媒体日常工作；指导协调全市政府网站的建设工作</w:t>
      </w:r>
      <w:r>
        <w:rPr>
          <w:rFonts w:hint="eastAsia" w:ascii="仿宋_GB2312" w:hAnsi="仿宋_GB2312" w:eastAsia="仿宋_GB2312" w:cs="仿宋_GB2312"/>
          <w:sz w:val="32"/>
          <w:szCs w:val="32"/>
          <w:u w:val="none"/>
        </w:rPr>
        <w:t>。</w:t>
      </w:r>
    </w:p>
    <w:p w14:paraId="6E2CCE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22E9E7D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u w:val="none"/>
        </w:rPr>
      </w:pPr>
      <w:r>
        <w:rPr>
          <w:rFonts w:hint="eastAsia" w:ascii="黑体" w:hAnsi="黑体" w:eastAsia="黑体" w:cs="黑体"/>
          <w:sz w:val="32"/>
          <w:szCs w:val="32"/>
          <w:u w:val="none"/>
        </w:rPr>
        <w:t>第七章</w:t>
      </w:r>
      <w:r>
        <w:rPr>
          <w:rFonts w:hint="eastAsia" w:ascii="黑体" w:hAnsi="黑体" w:eastAsia="黑体" w:cs="黑体"/>
          <w:sz w:val="32"/>
          <w:szCs w:val="32"/>
          <w:u w:val="none"/>
          <w:lang w:val="en-US" w:eastAsia="zh-CN"/>
        </w:rPr>
        <w:t xml:space="preserve"> </w:t>
      </w:r>
      <w:r>
        <w:rPr>
          <w:rFonts w:hint="eastAsia" w:ascii="黑体" w:hAnsi="黑体" w:eastAsia="黑体" w:cs="黑体"/>
          <w:sz w:val="32"/>
          <w:szCs w:val="32"/>
          <w:u w:val="none"/>
        </w:rPr>
        <w:t>资产和财务的管理</w:t>
      </w:r>
    </w:p>
    <w:p w14:paraId="126AFC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70C3C9C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第二十七条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国有资产包括使用财政资金形成的资产，接受调拨或者划转、置换形成的资产，接受捐赠并确认为国有的资产以及其他国有资产；其表现形式为流动资产、固定资产、无形资产和对外投资等。本单位应当根据依法履行职能和事业发展的需要，结合资产存量、资产配置标准、绩效目标和财政承受能力配置资产。本单位按照有关规定负责单位内部国有资产的具体管理，应当建立和完善内部控制管理制度。</w:t>
      </w:r>
    </w:p>
    <w:p w14:paraId="5B339BC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第二十八条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本单位执行国家实行统一的会计制度，依法接受税务、财政、审计、国有资产管理等主管部门监督管理。本单位的经费使用应符合本单位的宗旨和业务范围。</w:t>
      </w:r>
    </w:p>
    <w:p w14:paraId="6BCF880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第二十九条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本单位按照统一领导、集中管理等模式履行财政相关要求</w:t>
      </w:r>
      <w:r>
        <w:rPr>
          <w:rFonts w:hint="eastAsia" w:ascii="仿宋_GB2312" w:hAnsi="仿宋_GB2312" w:eastAsia="仿宋_GB2312" w:cs="仿宋_GB2312"/>
          <w:sz w:val="32"/>
          <w:szCs w:val="32"/>
          <w:u w:val="none"/>
          <w:lang w:val="en-US" w:eastAsia="zh-CN"/>
        </w:rPr>
        <w:t>。</w:t>
      </w:r>
    </w:p>
    <w:p w14:paraId="58E0591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第三十条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本单位的人员（包括</w:t>
      </w:r>
      <w:r>
        <w:rPr>
          <w:rFonts w:hint="eastAsia" w:ascii="仿宋_GB2312" w:hAnsi="仿宋_GB2312" w:eastAsia="仿宋_GB2312" w:cs="仿宋_GB2312"/>
          <w:sz w:val="32"/>
          <w:szCs w:val="32"/>
          <w:u w:val="none"/>
          <w:lang w:val="en-US" w:eastAsia="zh-CN"/>
        </w:rPr>
        <w:t>事业编制</w:t>
      </w:r>
      <w:r>
        <w:rPr>
          <w:rFonts w:hint="eastAsia" w:ascii="仿宋_GB2312" w:hAnsi="仿宋_GB2312" w:eastAsia="仿宋_GB2312" w:cs="仿宋_GB2312"/>
          <w:sz w:val="32"/>
          <w:szCs w:val="32"/>
          <w:u w:val="none"/>
        </w:rPr>
        <w:t>人员</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工勤人员、雇员以及</w:t>
      </w:r>
      <w:r>
        <w:rPr>
          <w:rFonts w:hint="eastAsia" w:ascii="仿宋_GB2312" w:hAnsi="仿宋_GB2312" w:eastAsia="仿宋_GB2312" w:cs="仿宋_GB2312"/>
          <w:sz w:val="32"/>
          <w:szCs w:val="32"/>
          <w:u w:val="none"/>
        </w:rPr>
        <w:t>离退休人员）工资、社保、福利待遇按照国家有关规定执行。</w:t>
      </w:r>
    </w:p>
    <w:p w14:paraId="443748F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第三十一条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本单位接受捐赠、资助和使用的原则</w:t>
      </w:r>
    </w:p>
    <w:p w14:paraId="66DEEB7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在本单位成立宗旨和业务范围内，按照有关法律法规要求接受相关单位或个人的捐赠、资助；接受的捐赠、资助有限定使用范围的，按限定范围内使用；无限定使用范围的，纳入本单位资产进行统一管理，按照举办单位财务管理办法等规定进行使用。</w:t>
      </w:r>
    </w:p>
    <w:p w14:paraId="1194CA1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第三十二条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本单位依法接受</w:t>
      </w:r>
      <w:r>
        <w:rPr>
          <w:rFonts w:hint="eastAsia" w:ascii="仿宋_GB2312" w:hAnsi="仿宋_GB2312" w:eastAsia="仿宋_GB2312" w:cs="仿宋_GB2312"/>
          <w:sz w:val="32"/>
          <w:szCs w:val="32"/>
          <w:u w:val="none"/>
          <w:lang w:val="en-US" w:eastAsia="zh-CN"/>
        </w:rPr>
        <w:t>举办单位以及市</w:t>
      </w:r>
      <w:r>
        <w:rPr>
          <w:rFonts w:hint="eastAsia" w:ascii="仿宋_GB2312" w:hAnsi="仿宋_GB2312" w:eastAsia="仿宋_GB2312" w:cs="仿宋_GB2312"/>
          <w:sz w:val="32"/>
          <w:szCs w:val="32"/>
          <w:u w:val="none"/>
        </w:rPr>
        <w:t>财政</w:t>
      </w:r>
      <w:r>
        <w:rPr>
          <w:rFonts w:hint="eastAsia" w:ascii="仿宋_GB2312" w:hAnsi="仿宋_GB2312" w:eastAsia="仿宋_GB2312" w:cs="仿宋_GB2312"/>
          <w:sz w:val="32"/>
          <w:szCs w:val="32"/>
          <w:u w:val="none"/>
          <w:lang w:val="en-US" w:eastAsia="zh-CN"/>
        </w:rPr>
        <w:t>等上级</w:t>
      </w:r>
      <w:r>
        <w:rPr>
          <w:rFonts w:hint="eastAsia" w:ascii="仿宋_GB2312" w:hAnsi="仿宋_GB2312" w:eastAsia="仿宋_GB2312" w:cs="仿宋_GB2312"/>
          <w:sz w:val="32"/>
          <w:szCs w:val="32"/>
          <w:u w:val="none"/>
        </w:rPr>
        <w:t>部门的监督</w:t>
      </w:r>
      <w:r>
        <w:rPr>
          <w:rFonts w:hint="eastAsia" w:ascii="仿宋_GB2312" w:hAnsi="仿宋_GB2312" w:eastAsia="仿宋_GB2312" w:cs="仿宋_GB2312"/>
          <w:sz w:val="32"/>
          <w:szCs w:val="32"/>
          <w:u w:val="none"/>
          <w:lang w:val="en-US" w:eastAsia="zh-CN"/>
        </w:rPr>
        <w:t>审计</w:t>
      </w:r>
      <w:r>
        <w:rPr>
          <w:rFonts w:hint="eastAsia" w:ascii="仿宋_GB2312" w:hAnsi="仿宋_GB2312" w:eastAsia="仿宋_GB2312" w:cs="仿宋_GB2312"/>
          <w:sz w:val="32"/>
          <w:szCs w:val="32"/>
          <w:u w:val="none"/>
        </w:rPr>
        <w:t>。</w:t>
      </w:r>
    </w:p>
    <w:p w14:paraId="5085DD1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第三十三条</w:t>
      </w:r>
      <w:r>
        <w:rPr>
          <w:rFonts w:hint="eastAsia" w:ascii="仿宋_GB2312" w:hAnsi="仿宋_GB2312" w:eastAsia="仿宋_GB2312" w:cs="仿宋_GB2312"/>
          <w:sz w:val="32"/>
          <w:szCs w:val="32"/>
          <w:u w:val="none"/>
          <w:lang w:val="en-US" w:eastAsia="zh-CN"/>
        </w:rPr>
        <w:t xml:space="preserve"> 本单位主要行政负责人</w:t>
      </w:r>
      <w:r>
        <w:rPr>
          <w:rFonts w:hint="eastAsia" w:ascii="仿宋_GB2312" w:hAnsi="仿宋_GB2312" w:eastAsia="仿宋_GB2312" w:cs="仿宋_GB2312"/>
          <w:sz w:val="32"/>
          <w:szCs w:val="32"/>
          <w:u w:val="none"/>
        </w:rPr>
        <w:t>离任前，应当进行经济</w:t>
      </w:r>
      <w:r>
        <w:rPr>
          <w:rFonts w:hint="eastAsia" w:ascii="仿宋_GB2312" w:hAnsi="仿宋_GB2312" w:eastAsia="仿宋_GB2312" w:cs="仿宋_GB2312"/>
          <w:sz w:val="32"/>
          <w:szCs w:val="32"/>
          <w:u w:val="none"/>
          <w:lang w:val="en-US" w:eastAsia="zh-CN"/>
        </w:rPr>
        <w:t>责</w:t>
      </w:r>
      <w:r>
        <w:rPr>
          <w:rFonts w:hint="eastAsia" w:ascii="仿宋_GB2312" w:hAnsi="仿宋_GB2312" w:eastAsia="仿宋_GB2312" w:cs="仿宋_GB2312"/>
          <w:sz w:val="32"/>
          <w:szCs w:val="32"/>
          <w:u w:val="none"/>
        </w:rPr>
        <w:t>任审计。</w:t>
      </w:r>
    </w:p>
    <w:p w14:paraId="66F8CA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0227F47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u w:val="none"/>
        </w:rPr>
      </w:pPr>
      <w:r>
        <w:rPr>
          <w:rFonts w:hint="eastAsia" w:ascii="黑体" w:hAnsi="黑体" w:eastAsia="黑体" w:cs="黑体"/>
          <w:sz w:val="32"/>
          <w:szCs w:val="32"/>
          <w:u w:val="none"/>
        </w:rPr>
        <w:t>第八章</w:t>
      </w:r>
      <w:r>
        <w:rPr>
          <w:rFonts w:hint="eastAsia" w:ascii="黑体" w:hAnsi="黑体" w:eastAsia="黑体" w:cs="黑体"/>
          <w:sz w:val="32"/>
          <w:szCs w:val="32"/>
          <w:u w:val="none"/>
          <w:lang w:val="en-US" w:eastAsia="zh-CN"/>
        </w:rPr>
        <w:t xml:space="preserve"> </w:t>
      </w:r>
      <w:r>
        <w:rPr>
          <w:rFonts w:hint="eastAsia" w:ascii="黑体" w:hAnsi="黑体" w:eastAsia="黑体" w:cs="黑体"/>
          <w:sz w:val="32"/>
          <w:szCs w:val="32"/>
          <w:u w:val="none"/>
        </w:rPr>
        <w:t>信息公开</w:t>
      </w:r>
    </w:p>
    <w:p w14:paraId="409F9F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2B27F6B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b/>
          <w:bCs/>
          <w:sz w:val="32"/>
          <w:szCs w:val="32"/>
          <w:u w:val="none"/>
        </w:rPr>
        <w:t>第三十四条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本单位承诺按照国家法律法规和事业单位登记管理机关的规定，真实、完整、及时地公开以下信息</w:t>
      </w:r>
      <w:r>
        <w:rPr>
          <w:rFonts w:hint="eastAsia" w:ascii="仿宋_GB2312" w:hAnsi="仿宋_GB2312" w:eastAsia="仿宋_GB2312" w:cs="仿宋_GB2312"/>
          <w:sz w:val="32"/>
          <w:szCs w:val="32"/>
          <w:u w:val="none"/>
          <w:lang w:eastAsia="zh-CN"/>
        </w:rPr>
        <w:t>：</w:t>
      </w:r>
    </w:p>
    <w:p w14:paraId="3AA4FC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（一）本单位章程，自章程核准（备案）之日起5个工作日内在举办单位的信息平台发布章程正式文本</w:t>
      </w:r>
      <w:r>
        <w:rPr>
          <w:rFonts w:hint="eastAsia" w:ascii="仿宋_GB2312" w:hAnsi="仿宋_GB2312" w:eastAsia="仿宋_GB2312" w:cs="仿宋_GB2312"/>
          <w:sz w:val="32"/>
          <w:szCs w:val="32"/>
          <w:u w:val="none"/>
          <w:lang w:eastAsia="zh-CN"/>
        </w:rPr>
        <w:t>；</w:t>
      </w:r>
    </w:p>
    <w:p w14:paraId="38F4A1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（二）本单位年度报告，应按照有关时限要求，向登记管理机关报送</w:t>
      </w:r>
      <w:r>
        <w:rPr>
          <w:rFonts w:hint="eastAsia" w:ascii="仿宋_GB2312" w:hAnsi="仿宋_GB2312" w:eastAsia="仿宋_GB2312" w:cs="仿宋_GB2312"/>
          <w:sz w:val="32"/>
          <w:szCs w:val="32"/>
          <w:u w:val="none"/>
          <w:lang w:eastAsia="zh-CN"/>
        </w:rPr>
        <w:t>；</w:t>
      </w:r>
    </w:p>
    <w:p w14:paraId="2E6AE59B">
      <w:pPr>
        <w:pStyle w:val="2"/>
        <w:keepNext w:val="0"/>
        <w:keepLines w:val="0"/>
        <w:pageBreakBefore w:val="0"/>
        <w:kinsoku/>
        <w:wordWrap/>
        <w:overflowPunct/>
        <w:topLinePunct w:val="0"/>
        <w:autoSpaceDE/>
        <w:autoSpaceDN/>
        <w:bidi w:val="0"/>
        <w:adjustRightInd/>
        <w:snapToGrid/>
        <w:spacing w:line="600" w:lineRule="exact"/>
        <w:rPr>
          <w:rFonts w:hint="eastAsia" w:eastAsia="仿宋_GB2312"/>
          <w:u w:val="none"/>
          <w:lang w:eastAsia="zh-CN"/>
        </w:rPr>
      </w:pPr>
      <w:r>
        <w:rPr>
          <w:rFonts w:hint="eastAsia" w:ascii="仿宋_GB2312" w:hAnsi="仿宋_GB2312" w:cs="仿宋_GB2312"/>
          <w:sz w:val="32"/>
          <w:szCs w:val="32"/>
          <w:u w:val="none"/>
          <w:lang w:eastAsia="zh-CN"/>
        </w:rPr>
        <w:t>（</w:t>
      </w:r>
      <w:r>
        <w:rPr>
          <w:rFonts w:hint="eastAsia" w:ascii="仿宋_GB2312" w:hAnsi="仿宋_GB2312" w:cs="仿宋_GB2312"/>
          <w:sz w:val="32"/>
          <w:szCs w:val="32"/>
          <w:u w:val="none"/>
          <w:lang w:val="en-US" w:eastAsia="zh-CN"/>
        </w:rPr>
        <w:t>三</w:t>
      </w:r>
      <w:r>
        <w:rPr>
          <w:rFonts w:hint="eastAsia" w:ascii="仿宋_GB2312" w:hAnsi="仿宋_GB2312" w:cs="仿宋_GB2312"/>
          <w:sz w:val="32"/>
          <w:szCs w:val="32"/>
          <w:u w:val="none"/>
          <w:lang w:eastAsia="zh-CN"/>
        </w:rPr>
        <w:t>）其他依法依规需要公开的信息。</w:t>
      </w:r>
    </w:p>
    <w:p w14:paraId="2D3AAB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0C5D71D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u w:val="none"/>
        </w:rPr>
      </w:pPr>
      <w:r>
        <w:rPr>
          <w:rFonts w:hint="eastAsia" w:ascii="黑体" w:hAnsi="黑体" w:eastAsia="黑体" w:cs="黑体"/>
          <w:sz w:val="32"/>
          <w:szCs w:val="32"/>
          <w:u w:val="none"/>
        </w:rPr>
        <w:t>第九章</w:t>
      </w:r>
      <w:r>
        <w:rPr>
          <w:rFonts w:hint="eastAsia" w:ascii="黑体" w:hAnsi="黑体" w:eastAsia="黑体" w:cs="黑体"/>
          <w:sz w:val="32"/>
          <w:szCs w:val="32"/>
          <w:u w:val="none"/>
          <w:lang w:val="en-US" w:eastAsia="zh-CN"/>
        </w:rPr>
        <w:t xml:space="preserve"> </w:t>
      </w:r>
      <w:r>
        <w:rPr>
          <w:rFonts w:hint="eastAsia" w:ascii="黑体" w:hAnsi="黑体" w:eastAsia="黑体" w:cs="黑体"/>
          <w:sz w:val="32"/>
          <w:szCs w:val="32"/>
          <w:u w:val="none"/>
        </w:rPr>
        <w:t>终止和剩余资产处理</w:t>
      </w:r>
    </w:p>
    <w:p w14:paraId="10AC47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099A0F5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b/>
          <w:bCs/>
          <w:sz w:val="32"/>
          <w:szCs w:val="32"/>
          <w:u w:val="none"/>
        </w:rPr>
        <w:t>第三十五条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本单位有以下情形之一，应当终止运行</w:t>
      </w:r>
      <w:r>
        <w:rPr>
          <w:rFonts w:hint="eastAsia" w:ascii="仿宋_GB2312" w:hAnsi="仿宋_GB2312" w:eastAsia="仿宋_GB2312" w:cs="仿宋_GB2312"/>
          <w:sz w:val="32"/>
          <w:szCs w:val="32"/>
          <w:u w:val="none"/>
          <w:lang w:eastAsia="zh-CN"/>
        </w:rPr>
        <w:t>：</w:t>
      </w:r>
    </w:p>
    <w:p w14:paraId="190648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（一）经审批机关决定撤销；</w:t>
      </w:r>
    </w:p>
    <w:p w14:paraId="6BFFCB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（二）因合并、分立解散；</w:t>
      </w:r>
    </w:p>
    <w:p w14:paraId="49F866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（三）因其他原因依法应当终止的。</w:t>
      </w:r>
    </w:p>
    <w:p w14:paraId="5CF7BC0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第三十六条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本单位在申请注销登记前，应在举办单位和有关机关的指导下，成立清算组织，开展清算工作。清算期间不开展清算以外的活动。</w:t>
      </w:r>
    </w:p>
    <w:p w14:paraId="26576D7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第三十七条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清算工作结束后形成清算报告，报举办单位审查同意，向登记管理机关申请注销登记。本单位存在下列情形之一的，且资产及债权债务情况清晰明确，权利义务有承接单位的事业单位，可按照有关规定向登记管理机关申请简易注销登记</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转制为行政机构的</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转制为国有企业的</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因合并、分立解散的</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直接撤销事业单位建制的。</w:t>
      </w:r>
    </w:p>
    <w:p w14:paraId="048C428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第三十八条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本单位终止后的剩余资产，在举办单位和财政、国有资产管理等部门的监督下，按照有关法律法规和章程进行处置。</w:t>
      </w:r>
    </w:p>
    <w:p w14:paraId="76164F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39E861D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u w:val="none"/>
        </w:rPr>
      </w:pPr>
      <w:r>
        <w:rPr>
          <w:rFonts w:hint="eastAsia" w:ascii="黑体" w:hAnsi="黑体" w:eastAsia="黑体" w:cs="黑体"/>
          <w:sz w:val="32"/>
          <w:szCs w:val="32"/>
          <w:u w:val="none"/>
        </w:rPr>
        <w:t>第十章</w:t>
      </w:r>
      <w:r>
        <w:rPr>
          <w:rFonts w:hint="eastAsia" w:ascii="黑体" w:hAnsi="黑体" w:eastAsia="黑体" w:cs="黑体"/>
          <w:sz w:val="32"/>
          <w:szCs w:val="32"/>
          <w:u w:val="none"/>
          <w:lang w:val="en-US" w:eastAsia="zh-CN"/>
        </w:rPr>
        <w:t xml:space="preserve"> </w:t>
      </w:r>
      <w:r>
        <w:rPr>
          <w:rFonts w:hint="eastAsia" w:ascii="黑体" w:hAnsi="黑体" w:eastAsia="黑体" w:cs="黑体"/>
          <w:sz w:val="32"/>
          <w:szCs w:val="32"/>
          <w:u w:val="none"/>
        </w:rPr>
        <w:t>章程修改</w:t>
      </w:r>
    </w:p>
    <w:p w14:paraId="545091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5C8D10B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第三十九条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本单位有下列情形之一，应当修改章程：</w:t>
      </w:r>
    </w:p>
    <w:p w14:paraId="707D5C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（一）章程规定的事项与修改后的国家法律、行政法规的规定不符的；</w:t>
      </w:r>
    </w:p>
    <w:p w14:paraId="435FC9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（二）章程内容与实际情况不符的；</w:t>
      </w:r>
    </w:p>
    <w:p w14:paraId="3F2124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（三）应当修改章程的其他情形。</w:t>
      </w:r>
    </w:p>
    <w:p w14:paraId="0D1FA7A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第四十条</w:t>
      </w:r>
      <w:r>
        <w:rPr>
          <w:rFonts w:hint="eastAsia" w:ascii="仿宋_GB2312" w:hAnsi="仿宋_GB2312" w:eastAsia="仿宋_GB2312" w:cs="仿宋_GB2312"/>
          <w:sz w:val="32"/>
          <w:szCs w:val="32"/>
          <w:u w:val="none"/>
          <w:lang w:val="en-US" w:eastAsia="zh-CN"/>
        </w:rPr>
        <w:t xml:space="preserve"> 章程修改的草案应经举办单位和业务主管单位审查核准同意，并向登记管理机关备案。涉及事业单位法人登记事项的，须向登记管理机关申请变更登记。</w:t>
      </w:r>
    </w:p>
    <w:p w14:paraId="39B2C6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4EF7596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u w:val="none"/>
        </w:rPr>
      </w:pPr>
      <w:r>
        <w:rPr>
          <w:rFonts w:hint="eastAsia" w:ascii="黑体" w:hAnsi="黑体" w:eastAsia="黑体" w:cs="黑体"/>
          <w:sz w:val="32"/>
          <w:szCs w:val="32"/>
          <w:u w:val="none"/>
        </w:rPr>
        <w:t>第十一章</w:t>
      </w:r>
      <w:r>
        <w:rPr>
          <w:rFonts w:hint="eastAsia" w:ascii="黑体" w:hAnsi="黑体" w:eastAsia="黑体" w:cs="黑体"/>
          <w:sz w:val="32"/>
          <w:szCs w:val="32"/>
          <w:u w:val="none"/>
          <w:lang w:val="en-US" w:eastAsia="zh-CN"/>
        </w:rPr>
        <w:t xml:space="preserve"> </w:t>
      </w:r>
      <w:r>
        <w:rPr>
          <w:rFonts w:hint="eastAsia" w:ascii="黑体" w:hAnsi="黑体" w:eastAsia="黑体" w:cs="黑体"/>
          <w:sz w:val="32"/>
          <w:szCs w:val="32"/>
          <w:u w:val="none"/>
        </w:rPr>
        <w:t>附</w:t>
      </w:r>
      <w:r>
        <w:rPr>
          <w:rFonts w:hint="eastAsia" w:ascii="黑体" w:hAnsi="黑体" w:eastAsia="黑体" w:cs="黑体"/>
          <w:sz w:val="32"/>
          <w:szCs w:val="32"/>
          <w:u w:val="none"/>
          <w:lang w:val="en-US" w:eastAsia="zh-CN"/>
        </w:rPr>
        <w:t xml:space="preserve">  </w:t>
      </w:r>
      <w:r>
        <w:rPr>
          <w:rFonts w:hint="eastAsia" w:ascii="黑体" w:hAnsi="黑体" w:eastAsia="黑体" w:cs="黑体"/>
          <w:sz w:val="32"/>
          <w:szCs w:val="32"/>
          <w:u w:val="none"/>
        </w:rPr>
        <w:t>则</w:t>
      </w:r>
    </w:p>
    <w:p w14:paraId="4338DE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607B16A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第四十一条</w:t>
      </w:r>
      <w:r>
        <w:rPr>
          <w:rFonts w:hint="eastAsia" w:ascii="仿宋_GB2312" w:hAnsi="仿宋_GB2312" w:eastAsia="仿宋_GB2312" w:cs="仿宋_GB2312"/>
          <w:sz w:val="32"/>
          <w:szCs w:val="32"/>
          <w:u w:val="none"/>
          <w:lang w:val="en-US" w:eastAsia="zh-CN"/>
        </w:rPr>
        <w:t xml:space="preserve"> 本章程于2024年7月5日经中山市信息中心职工大会讨论通过以及党支部支委会、主任办公会审议后，报中山市政务服务和数据管理局党组于7月23日核准同意通过。</w:t>
      </w:r>
    </w:p>
    <w:p w14:paraId="1127018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第四十二条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本章程内容如与法律法规、行政规章及国家政策相抵触时，应以法律法规、行政规章及国家政策的规定为准。涉及事业单位法人登记事项的，以登记管理机关核准颁发的《事业单位法人证书》刊载内容为准。</w:t>
      </w:r>
    </w:p>
    <w:p w14:paraId="36767DA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bCs/>
          <w:sz w:val="32"/>
          <w:szCs w:val="32"/>
          <w:u w:val="none"/>
        </w:rPr>
        <w:t>第四十三条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本章程的解释权属于</w:t>
      </w:r>
      <w:r>
        <w:rPr>
          <w:rFonts w:hint="eastAsia" w:ascii="仿宋_GB2312" w:hAnsi="仿宋_GB2312" w:eastAsia="仿宋_GB2312" w:cs="仿宋_GB2312"/>
          <w:sz w:val="32"/>
          <w:szCs w:val="32"/>
          <w:u w:val="none"/>
          <w:lang w:eastAsia="zh-CN"/>
        </w:rPr>
        <w:t>中山市信息中心</w:t>
      </w:r>
      <w:r>
        <w:rPr>
          <w:rFonts w:hint="eastAsia" w:ascii="仿宋_GB2312" w:hAnsi="仿宋_GB2312" w:eastAsia="仿宋_GB2312" w:cs="仿宋_GB2312"/>
          <w:sz w:val="32"/>
          <w:szCs w:val="32"/>
          <w:u w:val="none"/>
          <w:lang w:val="en-US" w:eastAsia="zh-CN"/>
        </w:rPr>
        <w:t>。</w:t>
      </w:r>
    </w:p>
    <w:p w14:paraId="2CA5AEE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bCs/>
          <w:sz w:val="32"/>
          <w:szCs w:val="32"/>
          <w:u w:val="none"/>
        </w:rPr>
        <w:t>第四十四条</w:t>
      </w:r>
      <w:r>
        <w:rPr>
          <w:rFonts w:hint="eastAsia" w:ascii="仿宋_GB2312" w:hAnsi="仿宋_GB2312" w:eastAsia="仿宋_GB2312" w:cs="仿宋_GB2312"/>
          <w:sz w:val="32"/>
          <w:szCs w:val="32"/>
          <w:u w:val="none"/>
          <w:lang w:val="en-US" w:eastAsia="zh-CN"/>
        </w:rPr>
        <w:t xml:space="preserve"> 本章程自2026年 5 月 29 日起生效。</w:t>
      </w:r>
    </w:p>
    <w:p w14:paraId="5BEC5369">
      <w:pPr>
        <w:pStyle w:val="2"/>
        <w:keepNext w:val="0"/>
        <w:keepLines w:val="0"/>
        <w:pageBreakBefore w:val="0"/>
        <w:kinsoku/>
        <w:wordWrap/>
        <w:overflowPunct/>
        <w:topLinePunct w:val="0"/>
        <w:autoSpaceDE/>
        <w:autoSpaceDN/>
        <w:bidi w:val="0"/>
        <w:spacing w:line="600" w:lineRule="exact"/>
        <w:rPr>
          <w:rFonts w:hint="eastAsia" w:ascii="仿宋_GB2312" w:hAnsi="仿宋_GB2312" w:eastAsia="仿宋_GB2312" w:cs="仿宋_GB2312"/>
          <w:sz w:val="32"/>
          <w:szCs w:val="32"/>
          <w:u w:val="none"/>
          <w:lang w:val="en-US" w:eastAsia="zh-CN"/>
        </w:rPr>
      </w:pPr>
    </w:p>
    <w:p w14:paraId="30CE7A6A">
      <w:pPr>
        <w:pStyle w:val="2"/>
        <w:keepNext w:val="0"/>
        <w:keepLines w:val="0"/>
        <w:pageBreakBefore w:val="0"/>
        <w:kinsoku/>
        <w:wordWrap/>
        <w:overflowPunct/>
        <w:topLinePunct w:val="0"/>
        <w:autoSpaceDE/>
        <w:autoSpaceDN/>
        <w:bidi w:val="0"/>
        <w:spacing w:line="600" w:lineRule="exact"/>
        <w:rPr>
          <w:rFonts w:hint="eastAsia" w:ascii="仿宋_GB2312" w:hAnsi="仿宋_GB2312" w:eastAsia="仿宋_GB2312" w:cs="仿宋_GB2312"/>
          <w:sz w:val="32"/>
          <w:szCs w:val="32"/>
          <w:u w:val="none"/>
          <w:lang w:val="en-US" w:eastAsia="zh-CN"/>
        </w:rPr>
      </w:pPr>
    </w:p>
    <w:p w14:paraId="3E9D8992">
      <w:pPr>
        <w:pStyle w:val="2"/>
        <w:keepNext w:val="0"/>
        <w:keepLines w:val="0"/>
        <w:pageBreakBefore w:val="0"/>
        <w:kinsoku/>
        <w:wordWrap/>
        <w:overflowPunct/>
        <w:topLinePunct w:val="0"/>
        <w:autoSpaceDE/>
        <w:autoSpaceDN/>
        <w:bidi w:val="0"/>
        <w:spacing w:line="600" w:lineRule="exact"/>
        <w:rPr>
          <w:rFonts w:hint="eastAsia" w:ascii="仿宋_GB2312" w:hAnsi="仿宋_GB2312" w:eastAsia="仿宋_GB2312" w:cs="仿宋_GB2312"/>
          <w:sz w:val="32"/>
          <w:szCs w:val="32"/>
          <w:u w:val="none"/>
          <w:lang w:val="en-US" w:eastAsia="zh-CN"/>
        </w:rPr>
      </w:pPr>
    </w:p>
    <w:p w14:paraId="20F3411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中山市信息中心</w:t>
      </w:r>
      <w:r>
        <w:rPr>
          <w:rFonts w:hint="eastAsia" w:ascii="仿宋_GB2312" w:hAnsi="仿宋_GB2312" w:eastAsia="仿宋_GB2312" w:cs="仿宋_GB2312"/>
          <w:sz w:val="32"/>
          <w:szCs w:val="32"/>
          <w:u w:val="none"/>
        </w:rPr>
        <w:t xml:space="preserve"> </w:t>
      </w:r>
      <w:r>
        <w:rPr>
          <w:rFonts w:hint="eastAsia" w:ascii="仿宋_GB2312" w:hAnsi="仿宋_GB2312" w:cs="仿宋_GB2312"/>
          <w:sz w:val="32"/>
          <w:szCs w:val="32"/>
          <w:u w:val="none"/>
          <w:lang w:val="en-US" w:eastAsia="zh-CN"/>
        </w:rPr>
        <w:t xml:space="preserve">        中山市政务服务和数据管理局</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 xml:space="preserve">      </w:t>
      </w:r>
    </w:p>
    <w:p w14:paraId="377C18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lang w:val="en-US" w:eastAsia="zh-CN"/>
        </w:rPr>
        <w:t>2026年5月</w:t>
      </w:r>
      <w:r>
        <w:rPr>
          <w:rFonts w:hint="eastAsia" w:ascii="仿宋_GB2312" w:hAnsi="仿宋_GB2312" w:cs="仿宋_GB2312"/>
          <w:sz w:val="32"/>
          <w:szCs w:val="32"/>
          <w:lang w:val="en-US" w:eastAsia="zh-CN"/>
        </w:rPr>
        <w:t>29</w:t>
      </w:r>
      <w:r>
        <w:rPr>
          <w:rFonts w:hint="eastAsia" w:ascii="仿宋_GB2312" w:hAnsi="仿宋_GB2312" w:eastAsia="仿宋_GB2312" w:cs="仿宋_GB2312"/>
          <w:sz w:val="32"/>
          <w:szCs w:val="32"/>
          <w:lang w:val="en-US" w:eastAsia="zh-CN"/>
        </w:rPr>
        <w:t xml:space="preserve">日          </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2026年5月</w:t>
      </w:r>
      <w:r>
        <w:rPr>
          <w:rFonts w:hint="eastAsia" w:ascii="仿宋_GB2312" w:hAnsi="仿宋_GB2312" w:cs="仿宋_GB2312"/>
          <w:sz w:val="32"/>
          <w:szCs w:val="32"/>
          <w:lang w:val="en-US" w:eastAsia="zh-CN"/>
        </w:rPr>
        <w:t>29</w:t>
      </w:r>
      <w:r>
        <w:rPr>
          <w:rFonts w:hint="eastAsia" w:ascii="仿宋_GB2312" w:hAnsi="仿宋_GB2312" w:eastAsia="仿宋_GB2312" w:cs="仿宋_GB2312"/>
          <w:sz w:val="32"/>
          <w:szCs w:val="32"/>
          <w:lang w:val="en-US" w:eastAsia="zh-CN"/>
        </w:rPr>
        <w:t>日</w:t>
      </w:r>
    </w:p>
    <w:p w14:paraId="08A92B0C">
      <w:pPr>
        <w:keepNext w:val="0"/>
        <w:keepLines w:val="0"/>
        <w:pageBreakBefore w:val="0"/>
        <w:widowControl w:val="0"/>
        <w:kinsoku/>
        <w:wordWrap/>
        <w:overflowPunct/>
        <w:topLinePunct w:val="0"/>
        <w:autoSpaceDE/>
        <w:autoSpaceDN/>
        <w:bidi w:val="0"/>
        <w:adjustRightInd w:val="0"/>
        <w:snapToGrid w:val="0"/>
        <w:spacing w:line="600" w:lineRule="exact"/>
        <w:ind w:firstLine="1280" w:firstLineChars="4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 xml:space="preserve"> </w:t>
      </w:r>
    </w:p>
    <w:p w14:paraId="103B2086">
      <w:pPr>
        <w:pStyle w:val="2"/>
        <w:keepNext w:val="0"/>
        <w:keepLines w:val="0"/>
        <w:pageBreakBefore w:val="0"/>
        <w:kinsoku/>
        <w:wordWrap/>
        <w:overflowPunct/>
        <w:topLinePunct w:val="0"/>
        <w:autoSpaceDE/>
        <w:autoSpaceDN/>
        <w:bidi w:val="0"/>
        <w:spacing w:line="600" w:lineRule="exact"/>
        <w:rPr>
          <w:rFonts w:hint="eastAsia" w:ascii="仿宋_GB2312" w:hAnsi="仿宋_GB2312" w:eastAsia="仿宋_GB2312" w:cs="仿宋_GB2312"/>
          <w:sz w:val="32"/>
          <w:szCs w:val="32"/>
          <w:u w:val="none"/>
          <w:lang w:val="en-US" w:eastAsia="zh-CN"/>
        </w:rPr>
      </w:pPr>
    </w:p>
    <w:p w14:paraId="43BC687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rPr>
      </w:pPr>
    </w:p>
    <w:p w14:paraId="17E53A0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eastAsia="zh-CN"/>
        </w:rPr>
      </w:pPr>
    </w:p>
    <w:sectPr>
      <w:headerReference r:id="rId3" w:type="default"/>
      <w:pgSz w:w="11906" w:h="16838"/>
      <w:pgMar w:top="1440" w:right="1486" w:bottom="1440" w:left="1800" w:header="851" w:footer="992" w:gutter="0"/>
      <w:lnNumType w:countBy="0" w:restart="continuous"/>
      <w:cols w:space="425" w:num="1"/>
      <w:docGrid w:type="lines" w:linePitch="312" w:charSpace="0"/>
      <mc:AlternateContent>
        <mc:Choice Requires="wpsCustomData">
          <wpsCustomData:blankLineNoLineNum/>
        </mc:Choice>
      </mc:AlternateContent>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EA17C">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1A1142"/>
    <w:rsid w:val="003C36EF"/>
    <w:rsid w:val="00C14B91"/>
    <w:rsid w:val="01401F5A"/>
    <w:rsid w:val="01663733"/>
    <w:rsid w:val="03C75704"/>
    <w:rsid w:val="04C602E0"/>
    <w:rsid w:val="05253812"/>
    <w:rsid w:val="06514C09"/>
    <w:rsid w:val="081A1142"/>
    <w:rsid w:val="08DE7789"/>
    <w:rsid w:val="095E38C5"/>
    <w:rsid w:val="0A2E0C9A"/>
    <w:rsid w:val="0A7B5493"/>
    <w:rsid w:val="0A817BCD"/>
    <w:rsid w:val="0B2E7CE5"/>
    <w:rsid w:val="0D860EC5"/>
    <w:rsid w:val="0DB105BF"/>
    <w:rsid w:val="0E490E7C"/>
    <w:rsid w:val="0F44530B"/>
    <w:rsid w:val="10853E2D"/>
    <w:rsid w:val="10B8135E"/>
    <w:rsid w:val="110C1984"/>
    <w:rsid w:val="120963A4"/>
    <w:rsid w:val="12FC6190"/>
    <w:rsid w:val="137E3EF9"/>
    <w:rsid w:val="14057E93"/>
    <w:rsid w:val="144A4CEB"/>
    <w:rsid w:val="147A2410"/>
    <w:rsid w:val="14F85871"/>
    <w:rsid w:val="150E2EC7"/>
    <w:rsid w:val="152C0393"/>
    <w:rsid w:val="15420170"/>
    <w:rsid w:val="15723504"/>
    <w:rsid w:val="163559AE"/>
    <w:rsid w:val="1674297A"/>
    <w:rsid w:val="16DE2E67"/>
    <w:rsid w:val="16E25A42"/>
    <w:rsid w:val="16EE564C"/>
    <w:rsid w:val="17FA3F2D"/>
    <w:rsid w:val="18142D12"/>
    <w:rsid w:val="1838605A"/>
    <w:rsid w:val="196D6F46"/>
    <w:rsid w:val="19FE50BD"/>
    <w:rsid w:val="1A267CBA"/>
    <w:rsid w:val="1A364410"/>
    <w:rsid w:val="1B875129"/>
    <w:rsid w:val="1BB04D0E"/>
    <w:rsid w:val="1C4E3FEC"/>
    <w:rsid w:val="1D375E9C"/>
    <w:rsid w:val="1DF535B8"/>
    <w:rsid w:val="1E8D7EF7"/>
    <w:rsid w:val="1ECC0E79"/>
    <w:rsid w:val="1EE97512"/>
    <w:rsid w:val="1FE8583F"/>
    <w:rsid w:val="20726BDD"/>
    <w:rsid w:val="21245D30"/>
    <w:rsid w:val="21270578"/>
    <w:rsid w:val="216A2FBF"/>
    <w:rsid w:val="21C37B78"/>
    <w:rsid w:val="22925FC0"/>
    <w:rsid w:val="22935E93"/>
    <w:rsid w:val="24A64103"/>
    <w:rsid w:val="259A4DF3"/>
    <w:rsid w:val="26FB1F37"/>
    <w:rsid w:val="282639B3"/>
    <w:rsid w:val="28CD7CC8"/>
    <w:rsid w:val="2A05411D"/>
    <w:rsid w:val="2A397935"/>
    <w:rsid w:val="2B6504C0"/>
    <w:rsid w:val="2C4B536C"/>
    <w:rsid w:val="2C5964A6"/>
    <w:rsid w:val="2CA006A0"/>
    <w:rsid w:val="2D087956"/>
    <w:rsid w:val="2FF36512"/>
    <w:rsid w:val="305D5DD5"/>
    <w:rsid w:val="31EC4E31"/>
    <w:rsid w:val="32A64342"/>
    <w:rsid w:val="32B1244A"/>
    <w:rsid w:val="32CB6C07"/>
    <w:rsid w:val="32D75419"/>
    <w:rsid w:val="32E40AFC"/>
    <w:rsid w:val="349D438E"/>
    <w:rsid w:val="36896378"/>
    <w:rsid w:val="368A0AF1"/>
    <w:rsid w:val="37BB70B4"/>
    <w:rsid w:val="388A78E0"/>
    <w:rsid w:val="39472E0A"/>
    <w:rsid w:val="3B075956"/>
    <w:rsid w:val="3B1F7857"/>
    <w:rsid w:val="3BBC3FE2"/>
    <w:rsid w:val="3D5B49C2"/>
    <w:rsid w:val="3DD551FD"/>
    <w:rsid w:val="3E705481"/>
    <w:rsid w:val="3FE926C3"/>
    <w:rsid w:val="404B6277"/>
    <w:rsid w:val="42332EA8"/>
    <w:rsid w:val="424B3B5E"/>
    <w:rsid w:val="430F56AE"/>
    <w:rsid w:val="439534B9"/>
    <w:rsid w:val="43AD2714"/>
    <w:rsid w:val="440A08B0"/>
    <w:rsid w:val="455A4EB5"/>
    <w:rsid w:val="45793BD0"/>
    <w:rsid w:val="45BD3779"/>
    <w:rsid w:val="464D09AB"/>
    <w:rsid w:val="469D331A"/>
    <w:rsid w:val="46B8453C"/>
    <w:rsid w:val="46C114B0"/>
    <w:rsid w:val="46CD415B"/>
    <w:rsid w:val="47132B9D"/>
    <w:rsid w:val="471E3881"/>
    <w:rsid w:val="47C53AEC"/>
    <w:rsid w:val="47CD110C"/>
    <w:rsid w:val="49613A8F"/>
    <w:rsid w:val="4AA343A7"/>
    <w:rsid w:val="4AAE5753"/>
    <w:rsid w:val="4B112FF7"/>
    <w:rsid w:val="4C601A9A"/>
    <w:rsid w:val="4C9E4C95"/>
    <w:rsid w:val="4D405670"/>
    <w:rsid w:val="4F292B40"/>
    <w:rsid w:val="50A15DEB"/>
    <w:rsid w:val="511D191E"/>
    <w:rsid w:val="52494060"/>
    <w:rsid w:val="528D3D0D"/>
    <w:rsid w:val="52BA20C6"/>
    <w:rsid w:val="538C3A5D"/>
    <w:rsid w:val="53D62753"/>
    <w:rsid w:val="53EB7721"/>
    <w:rsid w:val="53F03344"/>
    <w:rsid w:val="55EC1E85"/>
    <w:rsid w:val="566D4E6F"/>
    <w:rsid w:val="5779787A"/>
    <w:rsid w:val="58860EBF"/>
    <w:rsid w:val="58FD1239"/>
    <w:rsid w:val="59B408FB"/>
    <w:rsid w:val="5A13447C"/>
    <w:rsid w:val="5A9A37B2"/>
    <w:rsid w:val="5B3E42C0"/>
    <w:rsid w:val="5BFD2E8D"/>
    <w:rsid w:val="5C11169E"/>
    <w:rsid w:val="5D753C0A"/>
    <w:rsid w:val="5DA66549"/>
    <w:rsid w:val="5DBD55D9"/>
    <w:rsid w:val="5DC926EA"/>
    <w:rsid w:val="5E580CDF"/>
    <w:rsid w:val="5EE6682F"/>
    <w:rsid w:val="5F606A89"/>
    <w:rsid w:val="5F81590D"/>
    <w:rsid w:val="5F977FB6"/>
    <w:rsid w:val="60057CBB"/>
    <w:rsid w:val="601E45DE"/>
    <w:rsid w:val="62B83360"/>
    <w:rsid w:val="63283E1E"/>
    <w:rsid w:val="63B9703E"/>
    <w:rsid w:val="65451723"/>
    <w:rsid w:val="67491003"/>
    <w:rsid w:val="6766286B"/>
    <w:rsid w:val="683B55F2"/>
    <w:rsid w:val="69286015"/>
    <w:rsid w:val="69555BD8"/>
    <w:rsid w:val="699B4CCF"/>
    <w:rsid w:val="6A025978"/>
    <w:rsid w:val="6ACC663E"/>
    <w:rsid w:val="6E0761C6"/>
    <w:rsid w:val="6E264B1B"/>
    <w:rsid w:val="6F7B346D"/>
    <w:rsid w:val="6F7F035A"/>
    <w:rsid w:val="70781894"/>
    <w:rsid w:val="70FF3672"/>
    <w:rsid w:val="711A294B"/>
    <w:rsid w:val="73772446"/>
    <w:rsid w:val="73D279D0"/>
    <w:rsid w:val="74795021"/>
    <w:rsid w:val="75305052"/>
    <w:rsid w:val="75660855"/>
    <w:rsid w:val="756C3CF1"/>
    <w:rsid w:val="758E01DF"/>
    <w:rsid w:val="761E009A"/>
    <w:rsid w:val="762D0A14"/>
    <w:rsid w:val="76F3033C"/>
    <w:rsid w:val="779A0F48"/>
    <w:rsid w:val="7883019C"/>
    <w:rsid w:val="788C4033"/>
    <w:rsid w:val="78AD0450"/>
    <w:rsid w:val="793A2BF2"/>
    <w:rsid w:val="79FE65CA"/>
    <w:rsid w:val="7A9D4E2F"/>
    <w:rsid w:val="7C0223D9"/>
    <w:rsid w:val="7C663273"/>
    <w:rsid w:val="7DC5559C"/>
    <w:rsid w:val="7DE94895"/>
    <w:rsid w:val="7E664DEE"/>
    <w:rsid w:val="7E722019"/>
    <w:rsid w:val="7F3873E6"/>
    <w:rsid w:val="7F6D7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1"/>
    <w:pPr>
      <w:spacing w:before="39"/>
      <w:ind w:left="142"/>
      <w:outlineLvl w:val="1"/>
    </w:pPr>
    <w:rPr>
      <w:rFonts w:ascii="宋体" w:hAnsi="宋体" w:eastAsia="宋体" w:cs="宋体"/>
      <w:sz w:val="44"/>
      <w:szCs w:val="44"/>
    </w:rPr>
  </w:style>
  <w:style w:type="paragraph" w:styleId="4">
    <w:name w:val="heading 2"/>
    <w:basedOn w:val="1"/>
    <w:next w:val="1"/>
    <w:qFormat/>
    <w:uiPriority w:val="1"/>
    <w:pPr>
      <w:spacing w:before="40"/>
      <w:ind w:left="142" w:right="252"/>
      <w:jc w:val="center"/>
      <w:outlineLvl w:val="2"/>
    </w:pPr>
    <w:rPr>
      <w:rFonts w:ascii="宋体" w:hAnsi="宋体" w:eastAsia="宋体" w:cs="宋体"/>
      <w:sz w:val="43"/>
      <w:szCs w:val="43"/>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 正文"/>
    <w:qFormat/>
    <w:uiPriority w:val="0"/>
    <w:pPr>
      <w:spacing w:line="555" w:lineRule="atLeast"/>
      <w:ind w:firstLine="623"/>
      <w:jc w:val="both"/>
      <w:textAlignment w:val="baseline"/>
    </w:pPr>
    <w:rPr>
      <w:rFonts w:ascii="Times New Roman" w:hAnsi="Times New Roman" w:eastAsia="仿宋_GB2312" w:cs="Times New Roman"/>
      <w:color w:val="000000"/>
      <w:sz w:val="31"/>
      <w:szCs w:val="22"/>
      <w:lang w:val="en-US" w:eastAsia="zh-CN" w:bidi="ar-SA"/>
    </w:rPr>
  </w:style>
  <w:style w:type="paragraph" w:styleId="5">
    <w:name w:val="Body Text"/>
    <w:basedOn w:val="1"/>
    <w:qFormat/>
    <w:uiPriority w:val="1"/>
    <w:rPr>
      <w:rFonts w:ascii="宋体" w:hAnsi="宋体" w:eastAsia="宋体" w:cs="宋体"/>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中山市政务服务数据管理局</Company>
  <Pages>11</Pages>
  <Words>0</Words>
  <Characters>0</Characters>
  <Lines>0</Lines>
  <Paragraphs>0</Paragraphs>
  <TotalTime>0</TotalTime>
  <ScaleCrop>false</ScaleCrop>
  <LinksUpToDate>false</LinksUpToDate>
  <CharactersWithSpaces>0</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2024-06-24T01:27:00Z</dcterms:created>
  <dc:creator>刘杰仪</dc:creator>
  <cp:lastModifiedBy>市政务和数据局收发文员</cp:lastModifiedBy>
  <cp:lastPrinted>2024-08-07T00:35:00Z</cp:lastPrinted>
  <dcterms:modified xsi:type="dcterms:W3CDTF">2026-07-22T03:23:09Z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3C05914F360A4031898962A07D94D33B_13</vt:lpwstr>
  </property>
</Properties>
</file>