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DD14C">
      <w:pPr>
        <w:spacing w:line="360" w:lineRule="auto"/>
        <w:ind w:firstLine="0" w:firstLineChars="0"/>
        <w:jc w:val="center"/>
        <w:rPr>
          <w:rFonts w:hint="eastAsia" w:ascii="黑体" w:eastAsia="黑体"/>
          <w:sz w:val="36"/>
          <w:szCs w:val="36"/>
          <w:highlight w:val="none"/>
        </w:rPr>
      </w:pPr>
      <w:r>
        <w:rPr>
          <w:rFonts w:hint="eastAsia" w:ascii="黑体" w:eastAsia="黑体"/>
          <w:sz w:val="36"/>
          <w:szCs w:val="36"/>
          <w:highlight w:val="none"/>
        </w:rPr>
        <w:t>中山市</w:t>
      </w:r>
      <w:r>
        <w:rPr>
          <w:rFonts w:hint="eastAsia" w:ascii="黑体" w:eastAsia="黑体"/>
          <w:sz w:val="36"/>
          <w:szCs w:val="36"/>
          <w:highlight w:val="none"/>
          <w:lang w:eastAsia="zh-CN"/>
        </w:rPr>
        <w:t>市政府</w:t>
      </w:r>
      <w:r>
        <w:rPr>
          <w:rFonts w:hint="eastAsia" w:ascii="黑体" w:eastAsia="黑体"/>
          <w:sz w:val="36"/>
          <w:szCs w:val="36"/>
          <w:highlight w:val="none"/>
        </w:rPr>
        <w:t>大院内</w:t>
      </w:r>
      <w:r>
        <w:rPr>
          <w:rFonts w:hint="eastAsia" w:ascii="黑体" w:eastAsia="黑体"/>
          <w:sz w:val="36"/>
          <w:szCs w:val="36"/>
          <w:highlight w:val="none"/>
          <w:lang w:eastAsia="zh-CN"/>
        </w:rPr>
        <w:t>及</w:t>
      </w:r>
      <w:r>
        <w:rPr>
          <w:rFonts w:hint="eastAsia" w:ascii="黑体" w:eastAsia="黑体"/>
          <w:sz w:val="36"/>
          <w:szCs w:val="36"/>
          <w:highlight w:val="none"/>
        </w:rPr>
        <w:t>中山市政务服务中心</w:t>
      </w:r>
    </w:p>
    <w:p w14:paraId="5350FC7E">
      <w:pPr>
        <w:spacing w:line="360" w:lineRule="auto"/>
        <w:ind w:firstLine="0" w:firstLineChars="0"/>
        <w:jc w:val="center"/>
        <w:rPr>
          <w:rFonts w:ascii="黑体" w:eastAsia="黑体"/>
          <w:sz w:val="36"/>
          <w:szCs w:val="36"/>
          <w:highlight w:val="none"/>
        </w:rPr>
      </w:pPr>
      <w:r>
        <w:rPr>
          <w:rFonts w:hint="eastAsia" w:ascii="黑体" w:eastAsia="黑体"/>
          <w:sz w:val="36"/>
          <w:szCs w:val="36"/>
          <w:highlight w:val="none"/>
        </w:rPr>
        <w:t>低端信息化设备维护服务项目用户需求书</w:t>
      </w:r>
    </w:p>
    <w:p w14:paraId="78EE7E6D">
      <w:pPr>
        <w:spacing w:line="360" w:lineRule="auto"/>
        <w:ind w:firstLine="2700" w:firstLineChars="750"/>
        <w:rPr>
          <w:rFonts w:ascii="黑体" w:eastAsia="黑体"/>
          <w:sz w:val="36"/>
          <w:szCs w:val="36"/>
          <w:highlight w:val="none"/>
        </w:rPr>
      </w:pPr>
    </w:p>
    <w:p w14:paraId="56B8A6CD">
      <w:pPr>
        <w:tabs>
          <w:tab w:val="left" w:pos="709"/>
        </w:tabs>
        <w:snapToGrid w:val="0"/>
        <w:spacing w:line="460" w:lineRule="exact"/>
        <w:rPr>
          <w:b/>
          <w:sz w:val="30"/>
          <w:szCs w:val="30"/>
          <w:highlight w:val="none"/>
        </w:rPr>
      </w:pPr>
      <w:r>
        <w:rPr>
          <w:rFonts w:hint="eastAsia"/>
          <w:b/>
          <w:sz w:val="30"/>
          <w:szCs w:val="30"/>
          <w:highlight w:val="none"/>
        </w:rPr>
        <w:t>一、</w:t>
      </w:r>
      <w:r>
        <w:rPr>
          <w:b/>
          <w:sz w:val="30"/>
          <w:szCs w:val="30"/>
          <w:highlight w:val="none"/>
        </w:rPr>
        <w:t>项目概述</w:t>
      </w:r>
    </w:p>
    <w:p w14:paraId="4FCAE1D2">
      <w:pPr>
        <w:spacing w:line="460" w:lineRule="exact"/>
        <w:ind w:left="283" w:leftChars="135" w:firstLine="424" w:firstLineChars="202"/>
        <w:rPr>
          <w:highlight w:val="none"/>
        </w:rPr>
      </w:pPr>
      <w:r>
        <w:rPr>
          <w:rFonts w:hint="eastAsia"/>
          <w:highlight w:val="none"/>
        </w:rPr>
        <w:t>随着中山市政务信息化建设的稳步推进，</w:t>
      </w:r>
      <w:r>
        <w:rPr>
          <w:rFonts w:hint="eastAsia"/>
          <w:highlight w:val="none"/>
          <w:lang w:eastAsia="zh-CN"/>
        </w:rPr>
        <w:t>中山市</w:t>
      </w:r>
      <w:bookmarkStart w:id="0" w:name="_GoBack"/>
      <w:bookmarkEnd w:id="0"/>
      <w:r>
        <w:rPr>
          <w:rFonts w:hint="eastAsia"/>
          <w:highlight w:val="none"/>
          <w:lang w:eastAsia="zh-CN"/>
        </w:rPr>
        <w:t>市政府大院</w:t>
      </w:r>
      <w:r>
        <w:rPr>
          <w:rFonts w:hint="eastAsia"/>
          <w:szCs w:val="21"/>
          <w:highlight w:val="none"/>
          <w:lang w:eastAsia="zh-CN"/>
        </w:rPr>
        <w:t>内及</w:t>
      </w:r>
      <w:r>
        <w:rPr>
          <w:rFonts w:hint="eastAsia" w:ascii="宋体" w:hAnsi="宋体" w:eastAsia="宋体" w:cs="宋体"/>
          <w:color w:val="000000"/>
          <w:sz w:val="21"/>
          <w:szCs w:val="21"/>
          <w:highlight w:val="none"/>
          <w:lang w:val="en-US" w:eastAsia="zh-CN"/>
        </w:rPr>
        <w:t>中山市政务服务中心</w:t>
      </w:r>
      <w:r>
        <w:rPr>
          <w:rFonts w:hint="eastAsia"/>
          <w:szCs w:val="21"/>
          <w:highlight w:val="none"/>
        </w:rPr>
        <w:t>网络的覆盖范围和系统应用不断深化。</w:t>
      </w:r>
      <w:r>
        <w:rPr>
          <w:rFonts w:hint="eastAsia"/>
          <w:szCs w:val="21"/>
          <w:highlight w:val="none"/>
          <w:lang w:eastAsia="zh-CN"/>
        </w:rPr>
        <w:t>为</w:t>
      </w:r>
      <w:r>
        <w:rPr>
          <w:rFonts w:hint="eastAsia"/>
          <w:szCs w:val="21"/>
          <w:highlight w:val="none"/>
        </w:rPr>
        <w:t>保障</w:t>
      </w:r>
      <w:r>
        <w:rPr>
          <w:rFonts w:hint="eastAsia" w:ascii="宋体" w:hAnsi="宋体" w:eastAsia="宋体" w:cs="宋体"/>
          <w:i w:val="0"/>
          <w:iCs w:val="0"/>
          <w:caps w:val="0"/>
          <w:color w:val="000000"/>
          <w:spacing w:val="0"/>
          <w:sz w:val="21"/>
          <w:szCs w:val="21"/>
          <w:highlight w:val="none"/>
          <w:shd w:val="clear" w:fill="FFFFFF"/>
        </w:rPr>
        <w:t>市</w:t>
      </w:r>
      <w:r>
        <w:rPr>
          <w:rFonts w:hint="eastAsia" w:ascii="宋体" w:hAnsi="宋体" w:cs="宋体"/>
          <w:i w:val="0"/>
          <w:iCs w:val="0"/>
          <w:caps w:val="0"/>
          <w:color w:val="000000"/>
          <w:spacing w:val="0"/>
          <w:sz w:val="21"/>
          <w:szCs w:val="21"/>
          <w:highlight w:val="none"/>
          <w:shd w:val="clear" w:fill="FFFFFF"/>
          <w:lang w:eastAsia="zh-CN"/>
        </w:rPr>
        <w:t>政</w:t>
      </w:r>
      <w:r>
        <w:rPr>
          <w:rFonts w:hint="eastAsia" w:ascii="宋体" w:hAnsi="宋体" w:eastAsia="宋体" w:cs="宋体"/>
          <w:i w:val="0"/>
          <w:iCs w:val="0"/>
          <w:caps w:val="0"/>
          <w:color w:val="000000"/>
          <w:spacing w:val="0"/>
          <w:sz w:val="21"/>
          <w:szCs w:val="21"/>
          <w:highlight w:val="none"/>
          <w:shd w:val="clear" w:fill="FFFFFF"/>
        </w:rPr>
        <w:t>府大院</w:t>
      </w:r>
      <w:r>
        <w:rPr>
          <w:rFonts w:hint="eastAsia" w:ascii="宋体" w:hAnsi="宋体" w:cs="宋体"/>
          <w:i w:val="0"/>
          <w:iCs w:val="0"/>
          <w:caps w:val="0"/>
          <w:color w:val="000000"/>
          <w:spacing w:val="0"/>
          <w:sz w:val="21"/>
          <w:szCs w:val="21"/>
          <w:highlight w:val="none"/>
          <w:shd w:val="clear" w:fill="FFFFFF"/>
          <w:lang w:eastAsia="zh-CN"/>
        </w:rPr>
        <w:t>内</w:t>
      </w:r>
      <w:r>
        <w:rPr>
          <w:rFonts w:hint="eastAsia" w:ascii="宋体" w:hAnsi="宋体" w:eastAsia="宋体" w:cs="宋体"/>
          <w:i w:val="0"/>
          <w:iCs w:val="0"/>
          <w:caps w:val="0"/>
          <w:color w:val="000000"/>
          <w:spacing w:val="0"/>
          <w:sz w:val="21"/>
          <w:szCs w:val="21"/>
          <w:highlight w:val="none"/>
          <w:shd w:val="clear" w:fill="FFFFFF"/>
        </w:rPr>
        <w:t>各部门和市四套班子领导</w:t>
      </w:r>
      <w:r>
        <w:rPr>
          <w:rFonts w:hint="eastAsia" w:ascii="宋体" w:hAnsi="宋体" w:cs="宋体"/>
          <w:color w:val="000000"/>
          <w:szCs w:val="21"/>
          <w:highlight w:val="none"/>
          <w:shd w:val="clear" w:fill="FFFFFF"/>
        </w:rPr>
        <w:t>及中山市政务服务中心</w:t>
      </w:r>
      <w:r>
        <w:rPr>
          <w:rFonts w:hint="eastAsia" w:ascii="宋体" w:hAnsi="宋体" w:eastAsia="宋体" w:cs="宋体"/>
          <w:i w:val="0"/>
          <w:iCs w:val="0"/>
          <w:caps w:val="0"/>
          <w:color w:val="000000"/>
          <w:spacing w:val="0"/>
          <w:sz w:val="21"/>
          <w:szCs w:val="21"/>
          <w:highlight w:val="none"/>
          <w:shd w:val="clear" w:fill="FFFFFF"/>
        </w:rPr>
        <w:t>的正常办公</w:t>
      </w:r>
      <w:r>
        <w:rPr>
          <w:rFonts w:hint="eastAsia" w:ascii="宋体" w:hAnsi="宋体" w:cs="宋体"/>
          <w:i w:val="0"/>
          <w:iCs w:val="0"/>
          <w:caps w:val="0"/>
          <w:color w:val="000000"/>
          <w:spacing w:val="0"/>
          <w:sz w:val="21"/>
          <w:szCs w:val="21"/>
          <w:highlight w:val="none"/>
          <w:shd w:val="clear" w:fill="FFFFFF"/>
          <w:lang w:eastAsia="zh-CN"/>
        </w:rPr>
        <w:t>设备</w:t>
      </w:r>
      <w:r>
        <w:rPr>
          <w:rFonts w:hint="eastAsia" w:ascii="宋体" w:hAnsi="宋体" w:eastAsia="宋体" w:cs="宋体"/>
          <w:i w:val="0"/>
          <w:iCs w:val="0"/>
          <w:caps w:val="0"/>
          <w:color w:val="000000"/>
          <w:spacing w:val="0"/>
          <w:sz w:val="21"/>
          <w:szCs w:val="21"/>
          <w:highlight w:val="none"/>
          <w:shd w:val="clear" w:fill="FFFFFF"/>
        </w:rPr>
        <w:t>运维需求</w:t>
      </w:r>
      <w:r>
        <w:rPr>
          <w:rFonts w:hint="eastAsia"/>
          <w:highlight w:val="none"/>
        </w:rPr>
        <w:t>，提高运维服务的工作效率和专业化水平，</w:t>
      </w:r>
      <w:r>
        <w:rPr>
          <w:rFonts w:hint="eastAsia"/>
          <w:highlight w:val="none"/>
          <w:lang w:eastAsia="zh-CN"/>
        </w:rPr>
        <w:t>对</w:t>
      </w:r>
      <w:r>
        <w:rPr>
          <w:rFonts w:hint="eastAsia"/>
          <w:highlight w:val="none"/>
        </w:rPr>
        <w:t>中山市市政府大院内及中山市政务服务中心</w:t>
      </w:r>
      <w:r>
        <w:rPr>
          <w:rFonts w:hint="eastAsia"/>
          <w:highlight w:val="none"/>
          <w:lang w:eastAsia="zh-CN"/>
        </w:rPr>
        <w:t>内</w:t>
      </w:r>
      <w:r>
        <w:rPr>
          <w:rFonts w:hint="eastAsia"/>
          <w:highlight w:val="none"/>
        </w:rPr>
        <w:t>低端信息化设备</w:t>
      </w:r>
      <w:r>
        <w:rPr>
          <w:rFonts w:hint="eastAsia"/>
          <w:highlight w:val="none"/>
          <w:lang w:eastAsia="zh-CN"/>
        </w:rPr>
        <w:t>统一运维服务管理。</w:t>
      </w:r>
    </w:p>
    <w:p w14:paraId="6355F51E">
      <w:pPr>
        <w:spacing w:line="460" w:lineRule="exact"/>
        <w:ind w:firstLine="420" w:firstLineChars="200"/>
        <w:rPr>
          <w:highlight w:val="none"/>
        </w:rPr>
      </w:pPr>
    </w:p>
    <w:p w14:paraId="07B43A04">
      <w:pPr>
        <w:tabs>
          <w:tab w:val="left" w:pos="709"/>
        </w:tabs>
        <w:snapToGrid w:val="0"/>
        <w:spacing w:line="460" w:lineRule="exact"/>
        <w:rPr>
          <w:b/>
          <w:sz w:val="30"/>
          <w:szCs w:val="30"/>
          <w:highlight w:val="none"/>
        </w:rPr>
      </w:pPr>
      <w:r>
        <w:rPr>
          <w:rFonts w:hint="eastAsia"/>
          <w:b/>
          <w:sz w:val="30"/>
          <w:szCs w:val="30"/>
          <w:highlight w:val="none"/>
        </w:rPr>
        <w:t>二、</w:t>
      </w:r>
      <w:r>
        <w:rPr>
          <w:b/>
          <w:sz w:val="30"/>
          <w:szCs w:val="30"/>
          <w:highlight w:val="none"/>
        </w:rPr>
        <w:t>项目要求</w:t>
      </w:r>
    </w:p>
    <w:p w14:paraId="0CE0E1DB">
      <w:pPr>
        <w:widowControl/>
        <w:numPr>
          <w:ilvl w:val="0"/>
          <w:numId w:val="1"/>
        </w:numPr>
        <w:spacing w:line="460" w:lineRule="exact"/>
        <w:ind w:hanging="862"/>
        <w:jc w:val="left"/>
        <w:rPr>
          <w:b/>
          <w:sz w:val="24"/>
          <w:highlight w:val="none"/>
        </w:rPr>
      </w:pPr>
      <w:r>
        <w:rPr>
          <w:rFonts w:hint="eastAsia"/>
          <w:b/>
          <w:sz w:val="24"/>
          <w:highlight w:val="none"/>
        </w:rPr>
        <w:t>运维服务期限</w:t>
      </w:r>
    </w:p>
    <w:p w14:paraId="2CB85E59">
      <w:pPr>
        <w:spacing w:line="460" w:lineRule="exact"/>
        <w:ind w:left="283" w:leftChars="135" w:firstLine="424" w:firstLineChars="202"/>
        <w:rPr>
          <w:rFonts w:hint="eastAsia"/>
          <w:highlight w:val="none"/>
        </w:rPr>
      </w:pPr>
      <w:r>
        <w:rPr>
          <w:rFonts w:hint="eastAsia"/>
          <w:highlight w:val="none"/>
        </w:rPr>
        <w:t>运维服务</w:t>
      </w:r>
      <w:r>
        <w:rPr>
          <w:rFonts w:hint="eastAsia"/>
          <w:highlight w:val="none"/>
          <w:lang w:eastAsia="zh-CN"/>
        </w:rPr>
        <w:t>合同</w:t>
      </w:r>
      <w:r>
        <w:rPr>
          <w:rFonts w:hint="eastAsia"/>
          <w:highlight w:val="none"/>
        </w:rPr>
        <w:t>期</w:t>
      </w:r>
      <w:r>
        <w:rPr>
          <w:rFonts w:hint="eastAsia"/>
          <w:highlight w:val="none"/>
          <w:lang w:val="en-US" w:eastAsia="zh-CN"/>
        </w:rPr>
        <w:t>一年</w:t>
      </w:r>
      <w:r>
        <w:rPr>
          <w:rFonts w:hint="eastAsia"/>
          <w:highlight w:val="none"/>
        </w:rPr>
        <w:t>，成交供应商应在运维工作</w:t>
      </w:r>
      <w:r>
        <w:rPr>
          <w:rFonts w:hint="eastAsia"/>
          <w:highlight w:val="none"/>
          <w:lang w:eastAsia="zh"/>
          <w:woUserID w:val="1"/>
        </w:rPr>
        <w:t>服务</w:t>
      </w:r>
      <w:r>
        <w:rPr>
          <w:rFonts w:hint="eastAsia"/>
          <w:highlight w:val="none"/>
        </w:rPr>
        <w:t>期内做好各项运维工作和按照采购人的要求做好运维</w:t>
      </w:r>
      <w:r>
        <w:rPr>
          <w:rFonts w:hint="eastAsia"/>
          <w:highlight w:val="none"/>
          <w:lang w:eastAsia="zh-CN"/>
        </w:rPr>
        <w:t>服务的</w:t>
      </w:r>
      <w:r>
        <w:rPr>
          <w:rFonts w:hint="eastAsia"/>
          <w:highlight w:val="none"/>
        </w:rPr>
        <w:t>全部交接工作。</w:t>
      </w:r>
    </w:p>
    <w:p w14:paraId="36C175C8">
      <w:pPr>
        <w:spacing w:line="460" w:lineRule="exact"/>
        <w:ind w:left="283" w:leftChars="135" w:firstLine="424" w:firstLineChars="202"/>
        <w:rPr>
          <w:highlight w:val="none"/>
        </w:rPr>
      </w:pPr>
    </w:p>
    <w:p w14:paraId="32D21939">
      <w:pPr>
        <w:widowControl/>
        <w:numPr>
          <w:ilvl w:val="0"/>
          <w:numId w:val="1"/>
        </w:numPr>
        <w:spacing w:line="460" w:lineRule="exact"/>
        <w:ind w:hanging="862"/>
        <w:jc w:val="left"/>
        <w:rPr>
          <w:b/>
          <w:sz w:val="24"/>
          <w:highlight w:val="none"/>
        </w:rPr>
      </w:pPr>
      <w:r>
        <w:rPr>
          <w:rFonts w:hint="eastAsia"/>
          <w:b/>
          <w:sz w:val="24"/>
          <w:highlight w:val="none"/>
        </w:rPr>
        <w:t>运维范围</w:t>
      </w:r>
    </w:p>
    <w:p w14:paraId="0EE0FBAF">
      <w:pPr>
        <w:spacing w:line="460" w:lineRule="exact"/>
        <w:ind w:left="283" w:leftChars="135" w:firstLine="424" w:firstLineChars="202"/>
        <w:rPr>
          <w:highlight w:val="none"/>
        </w:rPr>
      </w:pPr>
      <w:r>
        <w:rPr>
          <w:rFonts w:hint="eastAsia"/>
          <w:highlight w:val="none"/>
        </w:rPr>
        <w:t>运维范围</w:t>
      </w:r>
      <w:r>
        <w:rPr>
          <w:rFonts w:hint="eastAsia"/>
          <w:highlight w:val="none"/>
          <w:lang w:eastAsia="zh-CN"/>
        </w:rPr>
        <w:t>为</w:t>
      </w:r>
      <w:r>
        <w:rPr>
          <w:rFonts w:hint="eastAsia"/>
          <w:highlight w:val="none"/>
        </w:rPr>
        <w:t>除骨干光纤线路和机房内网络核心设备以外的</w:t>
      </w:r>
      <w:r>
        <w:rPr>
          <w:rFonts w:hint="eastAsia"/>
          <w:highlight w:val="none"/>
          <w:lang w:eastAsia="zh-CN"/>
        </w:rPr>
        <w:t>市政府大院内</w:t>
      </w:r>
      <w:r>
        <w:rPr>
          <w:rFonts w:hint="eastAsia"/>
          <w:highlight w:val="none"/>
        </w:rPr>
        <w:t>网络和接入的</w:t>
      </w:r>
      <w:r>
        <w:rPr>
          <w:rFonts w:hint="eastAsia"/>
          <w:highlight w:val="none"/>
          <w:lang w:eastAsia="zh-CN"/>
        </w:rPr>
        <w:t>所有</w:t>
      </w:r>
      <w:r>
        <w:rPr>
          <w:rFonts w:hint="eastAsia"/>
          <w:highlight w:val="none"/>
        </w:rPr>
        <w:t>终端设备，包括市委、市政府（含“二办”）、人大、政协大院内各单位的网络、终端及相关设备</w:t>
      </w:r>
      <w:r>
        <w:rPr>
          <w:rFonts w:hint="eastAsia"/>
          <w:highlight w:val="none"/>
          <w:lang w:eastAsia="zh-CN"/>
        </w:rPr>
        <w:t>；</w:t>
      </w:r>
      <w:r>
        <w:rPr>
          <w:rFonts w:hint="eastAsia"/>
          <w:highlight w:val="none"/>
        </w:rPr>
        <w:t>中山市政务服务中心指定范围，包括但不限于各进驻部门前后台、便民服务自助区、24小时自助服务区、监控室、智慧指挥调度中心等（公共资源交易中心除外）具体如下：</w:t>
      </w:r>
    </w:p>
    <w:p w14:paraId="7C90650B">
      <w:pPr>
        <w:widowControl/>
        <w:numPr>
          <w:ilvl w:val="1"/>
          <w:numId w:val="1"/>
        </w:numPr>
        <w:tabs>
          <w:tab w:val="left" w:pos="709"/>
        </w:tabs>
        <w:spacing w:line="460" w:lineRule="exact"/>
        <w:ind w:left="709" w:hanging="425"/>
        <w:jc w:val="left"/>
        <w:rPr>
          <w:b/>
          <w:bCs/>
          <w:highlight w:val="none"/>
        </w:rPr>
      </w:pPr>
      <w:r>
        <w:rPr>
          <w:rFonts w:hint="eastAsia"/>
          <w:b/>
          <w:bCs/>
          <w:highlight w:val="none"/>
          <w:lang w:eastAsia="zh-CN"/>
        </w:rPr>
        <w:t>市政府大院内及中山市政务服务中心</w:t>
      </w:r>
      <w:r>
        <w:rPr>
          <w:rFonts w:hint="eastAsia"/>
          <w:b/>
          <w:bCs/>
          <w:highlight w:val="none"/>
        </w:rPr>
        <w:t>网络及硬件设备</w:t>
      </w:r>
    </w:p>
    <w:p w14:paraId="10596459">
      <w:pPr>
        <w:widowControl/>
        <w:numPr>
          <w:ilvl w:val="-1"/>
          <w:numId w:val="0"/>
        </w:numPr>
        <w:spacing w:line="460" w:lineRule="exact"/>
        <w:ind w:left="283" w:leftChars="135" w:firstLine="424" w:firstLineChars="202"/>
        <w:jc w:val="left"/>
        <w:rPr>
          <w:rFonts w:hint="eastAsia"/>
          <w:highlight w:val="none"/>
        </w:rPr>
      </w:pPr>
      <w:r>
        <w:rPr>
          <w:rFonts w:hint="eastAsia"/>
          <w:highlight w:val="none"/>
          <w:lang w:val="en-US" w:eastAsia="zh-CN"/>
        </w:rPr>
        <w:t>A.</w:t>
      </w:r>
      <w:r>
        <w:rPr>
          <w:rFonts w:hint="eastAsia"/>
          <w:highlight w:val="none"/>
        </w:rPr>
        <w:t>市委、市政府（含“二办”）和人大、政协机关大院内各单位的</w:t>
      </w:r>
      <w:r>
        <w:rPr>
          <w:rFonts w:hint="eastAsia"/>
          <w:highlight w:val="none"/>
          <w:lang w:val="en-US" w:eastAsia="zh-CN"/>
        </w:rPr>
        <w:t>低端</w:t>
      </w:r>
      <w:r>
        <w:rPr>
          <w:rFonts w:hint="eastAsia"/>
          <w:highlight w:val="none"/>
        </w:rPr>
        <w:t>网络设备和综合布线系统。</w:t>
      </w:r>
    </w:p>
    <w:p w14:paraId="0E008644">
      <w:pPr>
        <w:numPr>
          <w:ilvl w:val="-1"/>
          <w:numId w:val="0"/>
        </w:numPr>
        <w:spacing w:line="460" w:lineRule="exact"/>
        <w:ind w:left="283" w:leftChars="135" w:firstLine="424" w:firstLineChars="202"/>
        <w:rPr>
          <w:rFonts w:hint="eastAsia"/>
          <w:highlight w:val="none"/>
        </w:rPr>
      </w:pPr>
      <w:r>
        <w:rPr>
          <w:rFonts w:hint="eastAsia"/>
          <w:highlight w:val="none"/>
          <w:lang w:val="en-US" w:eastAsia="zh-CN"/>
        </w:rPr>
        <w:t>B.</w:t>
      </w:r>
      <w:r>
        <w:rPr>
          <w:rFonts w:hint="eastAsia"/>
          <w:highlight w:val="none"/>
          <w:lang w:eastAsia="zh-CN"/>
        </w:rPr>
        <w:t>市政府</w:t>
      </w:r>
      <w:r>
        <w:rPr>
          <w:rFonts w:hint="eastAsia"/>
          <w:highlight w:val="none"/>
        </w:rPr>
        <w:t>大院内各单位接入网络的相关设备的网络故障排查，各单位与</w:t>
      </w:r>
      <w:r>
        <w:rPr>
          <w:rFonts w:hint="eastAsia"/>
          <w:highlight w:val="none"/>
          <w:lang w:eastAsia="zh-CN"/>
        </w:rPr>
        <w:t>市政务外网</w:t>
      </w:r>
      <w:r>
        <w:rPr>
          <w:rFonts w:hint="eastAsia"/>
          <w:highlight w:val="none"/>
        </w:rPr>
        <w:t>相连的局域网故障排查及线路运维。</w:t>
      </w:r>
    </w:p>
    <w:p w14:paraId="0D0E8C52">
      <w:pPr>
        <w:numPr>
          <w:ilvl w:val="-1"/>
          <w:numId w:val="0"/>
        </w:numPr>
        <w:spacing w:line="460" w:lineRule="exact"/>
        <w:ind w:left="283" w:leftChars="135" w:firstLine="424" w:firstLineChars="202"/>
        <w:rPr>
          <w:rFonts w:hint="eastAsia"/>
          <w:highlight w:val="none"/>
        </w:rPr>
      </w:pPr>
      <w:r>
        <w:rPr>
          <w:rFonts w:hint="eastAsia"/>
          <w:highlight w:val="none"/>
          <w:lang w:val="en-US" w:eastAsia="zh-CN"/>
        </w:rPr>
        <w:t>C.</w:t>
      </w:r>
      <w:r>
        <w:rPr>
          <w:rFonts w:hint="eastAsia"/>
          <w:highlight w:val="none"/>
        </w:rPr>
        <w:t>负责中山市政务服务中心桌面终端设备产品（包括但不限于台式机、笔记本电脑、打印机、复印机、扫描仪、碎纸机、电话机等相关设备）的运维、巡查、以及故障处理等工作，确保大厅工作人员日常工作正常开展。掌握中心的设备种类、使用环境等状况，保障系统的硬件、软件正常运作，结合智慧指挥调度中心优化运维管理，及时提出改善方案。</w:t>
      </w:r>
    </w:p>
    <w:p w14:paraId="47C4A0E3">
      <w:pPr>
        <w:pStyle w:val="4"/>
        <w:shd w:val="clear"/>
        <w:ind w:firstLine="422" w:firstLineChars="200"/>
        <w:rPr>
          <w:rFonts w:hint="eastAsia"/>
          <w:b/>
          <w:bCs/>
          <w:sz w:val="21"/>
          <w:szCs w:val="21"/>
        </w:rPr>
      </w:pPr>
      <w:r>
        <w:rPr>
          <w:rFonts w:hint="eastAsia"/>
          <w:b/>
          <w:bCs/>
          <w:sz w:val="21"/>
          <w:szCs w:val="21"/>
          <w:highlight w:val="none"/>
          <w:lang w:val="en-US" w:eastAsia="zh-CN"/>
        </w:rPr>
        <w:t>中山市</w:t>
      </w:r>
      <w:r>
        <w:rPr>
          <w:rFonts w:hint="eastAsia"/>
          <w:b/>
          <w:bCs/>
          <w:sz w:val="21"/>
          <w:szCs w:val="21"/>
          <w:highlight w:val="none"/>
          <w:lang w:eastAsia="zh-CN"/>
        </w:rPr>
        <w:t>市政府大院内设备明细：</w:t>
      </w:r>
    </w:p>
    <w:tbl>
      <w:tblPr>
        <w:tblStyle w:val="8"/>
        <w:tblpPr w:leftFromText="180" w:rightFromText="180" w:vertAnchor="text" w:horzAnchor="page" w:tblpX="2357" w:tblpY="99"/>
        <w:tblOverlap w:val="never"/>
        <w:tblW w:w="7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7"/>
        <w:gridCol w:w="2106"/>
        <w:gridCol w:w="2559"/>
        <w:gridCol w:w="840"/>
        <w:gridCol w:w="1344"/>
      </w:tblGrid>
      <w:tr w14:paraId="65F03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67" w:type="dxa"/>
            <w:tcBorders>
              <w:top w:val="single" w:color="000000" w:sz="4" w:space="0"/>
              <w:left w:val="single" w:color="000000" w:sz="4" w:space="0"/>
              <w:bottom w:val="single" w:color="000000" w:sz="4" w:space="0"/>
              <w:right w:val="single" w:color="000000" w:sz="4" w:space="0"/>
              <w:tl2br w:val="nil"/>
              <w:tr2bl w:val="nil"/>
            </w:tcBorders>
            <w:shd w:val="clear" w:color="auto" w:fill="A6A6A6"/>
            <w:noWrap/>
            <w:vAlign w:val="center"/>
          </w:tcPr>
          <w:p w14:paraId="4FBCA00D">
            <w:pPr>
              <w:widowControl/>
              <w:shd w:val="clear"/>
              <w:spacing w:beforeLines="0" w:afterLines="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序号</w:t>
            </w:r>
          </w:p>
        </w:tc>
        <w:tc>
          <w:tcPr>
            <w:tcW w:w="2106" w:type="dxa"/>
            <w:tcBorders>
              <w:top w:val="single" w:color="000000" w:sz="4" w:space="0"/>
              <w:left w:val="single" w:color="000000" w:sz="4" w:space="0"/>
              <w:bottom w:val="single" w:color="000000" w:sz="4" w:space="0"/>
              <w:right w:val="single" w:color="000000" w:sz="4" w:space="0"/>
              <w:tl2br w:val="nil"/>
              <w:tr2bl w:val="nil"/>
            </w:tcBorders>
            <w:shd w:val="clear" w:color="auto" w:fill="A6A6A6"/>
            <w:noWrap/>
            <w:vAlign w:val="center"/>
          </w:tcPr>
          <w:p w14:paraId="40C62E5F">
            <w:pPr>
              <w:widowControl/>
              <w:shd w:val="clear"/>
              <w:spacing w:beforeLines="0" w:afterLines="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分项名称</w:t>
            </w:r>
          </w:p>
        </w:tc>
        <w:tc>
          <w:tcPr>
            <w:tcW w:w="2559" w:type="dxa"/>
            <w:tcBorders>
              <w:top w:val="single" w:color="000000" w:sz="4" w:space="0"/>
              <w:left w:val="single" w:color="000000" w:sz="4" w:space="0"/>
              <w:bottom w:val="single" w:color="000000" w:sz="4" w:space="0"/>
              <w:right w:val="single" w:color="000000" w:sz="4" w:space="0"/>
              <w:tl2br w:val="nil"/>
              <w:tr2bl w:val="nil"/>
            </w:tcBorders>
            <w:shd w:val="clear" w:color="auto" w:fill="A6A6A6"/>
            <w:noWrap w:val="0"/>
            <w:vAlign w:val="center"/>
          </w:tcPr>
          <w:p w14:paraId="3044CCA5">
            <w:pPr>
              <w:widowControl/>
              <w:shd w:val="clear"/>
              <w:spacing w:beforeLines="0" w:afterLines="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品牌、规格型号、主要技术参数</w:t>
            </w:r>
          </w:p>
        </w:tc>
        <w:tc>
          <w:tcPr>
            <w:tcW w:w="840" w:type="dxa"/>
            <w:tcBorders>
              <w:top w:val="single" w:color="000000" w:sz="4" w:space="0"/>
              <w:left w:val="single" w:color="000000" w:sz="4" w:space="0"/>
              <w:bottom w:val="single" w:color="000000" w:sz="4" w:space="0"/>
              <w:right w:val="single" w:color="000000" w:sz="4" w:space="0"/>
              <w:tl2br w:val="nil"/>
              <w:tr2bl w:val="nil"/>
            </w:tcBorders>
            <w:shd w:val="clear" w:color="auto" w:fill="A6A6A6"/>
            <w:noWrap/>
            <w:vAlign w:val="center"/>
          </w:tcPr>
          <w:p w14:paraId="625393CA">
            <w:pPr>
              <w:widowControl/>
              <w:shd w:val="clear"/>
              <w:spacing w:beforeLines="0" w:afterLines="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单位</w:t>
            </w:r>
          </w:p>
        </w:tc>
        <w:tc>
          <w:tcPr>
            <w:tcW w:w="1344" w:type="dxa"/>
            <w:tcBorders>
              <w:top w:val="single" w:color="000000" w:sz="4" w:space="0"/>
              <w:left w:val="single" w:color="000000" w:sz="4" w:space="0"/>
              <w:bottom w:val="single" w:color="000000" w:sz="4" w:space="0"/>
              <w:right w:val="single" w:color="000000" w:sz="4" w:space="0"/>
              <w:tl2br w:val="nil"/>
              <w:tr2bl w:val="nil"/>
            </w:tcBorders>
            <w:shd w:val="clear" w:color="auto" w:fill="A6A6A6"/>
            <w:noWrap/>
            <w:vAlign w:val="center"/>
          </w:tcPr>
          <w:p w14:paraId="6EDFD485">
            <w:pPr>
              <w:widowControl/>
              <w:shd w:val="clear"/>
              <w:spacing w:beforeLines="0" w:afterLines="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数量</w:t>
            </w:r>
          </w:p>
        </w:tc>
      </w:tr>
      <w:tr w14:paraId="6307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3A85E7">
            <w:pPr>
              <w:widowControl/>
              <w:shd w:val="clear"/>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1</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3093088">
            <w:pPr>
              <w:widowControl/>
              <w:shd w:val="clear"/>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PC主机（windows、统信）</w:t>
            </w:r>
          </w:p>
        </w:tc>
        <w:tc>
          <w:tcPr>
            <w:tcW w:w="2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239760">
            <w:pPr>
              <w:shd w:val="clear"/>
              <w:spacing w:beforeLines="0" w:afterLines="0"/>
              <w:rPr>
                <w:rFonts w:hint="default" w:ascii="宋体" w:hAnsi="宋体" w:cs="宋体"/>
                <w:color w:val="000000"/>
                <w:sz w:val="21"/>
                <w:szCs w:val="21"/>
              </w:rPr>
            </w:pPr>
            <w:r>
              <w:rPr>
                <w:rFonts w:hint="default" w:ascii="宋体" w:hAnsi="宋体" w:cs="宋体"/>
                <w:color w:val="000000"/>
                <w:sz w:val="21"/>
                <w:szCs w:val="21"/>
              </w:rPr>
              <w:t>组装机/联想/惠普/戴尔</w:t>
            </w:r>
            <w:r>
              <w:rPr>
                <w:rFonts w:hint="eastAsia" w:ascii="宋体" w:hAnsi="宋体" w:cs="宋体"/>
                <w:color w:val="000000"/>
                <w:sz w:val="21"/>
                <w:szCs w:val="21"/>
                <w:lang w:eastAsia="zh-CN"/>
              </w:rPr>
              <w:t>华为</w:t>
            </w:r>
            <w:r>
              <w:rPr>
                <w:rFonts w:hint="eastAsia" w:ascii="宋体" w:hAnsi="宋体" w:cs="宋体"/>
                <w:color w:val="000000"/>
                <w:sz w:val="21"/>
                <w:szCs w:val="21"/>
                <w:lang w:val="en-US" w:eastAsia="zh-CN"/>
              </w:rPr>
              <w:t>/长城</w:t>
            </w:r>
            <w:r>
              <w:rPr>
                <w:rFonts w:hint="default" w:ascii="宋体" w:hAnsi="宋体" w:cs="宋体"/>
                <w:color w:val="000000"/>
                <w:sz w:val="21"/>
                <w:szCs w:val="21"/>
              </w:rPr>
              <w:t>等</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DA1AF31">
            <w:pPr>
              <w:widowControl/>
              <w:shd w:val="clear"/>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台</w:t>
            </w:r>
          </w:p>
        </w:tc>
        <w:tc>
          <w:tcPr>
            <w:tcW w:w="134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7D2D0F">
            <w:pPr>
              <w:widowControl/>
              <w:shd w:val="clear"/>
              <w:spacing w:beforeLines="0" w:afterLines="0"/>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kern w:val="0"/>
                <w:sz w:val="21"/>
                <w:szCs w:val="21"/>
                <w:lang w:val="en-US" w:eastAsia="zh-CN" w:bidi="ar"/>
              </w:rPr>
              <w:t>2939</w:t>
            </w:r>
          </w:p>
        </w:tc>
      </w:tr>
      <w:tr w14:paraId="056D1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39C0C3E">
            <w:pPr>
              <w:widowControl/>
              <w:shd w:val="clear"/>
              <w:spacing w:beforeLines="0" w:afterLines="0"/>
              <w:jc w:val="center"/>
              <w:textAlignment w:val="center"/>
              <w:rPr>
                <w:rFonts w:hint="default" w:ascii="宋体" w:hAnsi="宋体" w:cs="宋体"/>
                <w:color w:val="000000"/>
                <w:kern w:val="0"/>
                <w:sz w:val="21"/>
                <w:szCs w:val="21"/>
                <w:lang w:bidi="ar"/>
              </w:rPr>
            </w:pPr>
            <w:r>
              <w:rPr>
                <w:rFonts w:hint="default" w:ascii="宋体" w:hAnsi="宋体" w:cs="宋体"/>
                <w:color w:val="000000"/>
                <w:kern w:val="0"/>
                <w:sz w:val="21"/>
                <w:szCs w:val="21"/>
                <w:lang w:bidi="ar"/>
              </w:rPr>
              <w:t>2</w:t>
            </w:r>
          </w:p>
        </w:tc>
        <w:tc>
          <w:tcPr>
            <w:tcW w:w="210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1B18492">
            <w:pPr>
              <w:widowControl/>
              <w:shd w:val="clear"/>
              <w:spacing w:beforeLines="0" w:afterLines="0"/>
              <w:jc w:val="center"/>
              <w:textAlignment w:val="center"/>
              <w:rPr>
                <w:rFonts w:hint="default" w:ascii="宋体" w:hAnsi="宋体" w:eastAsia="宋体" w:cs="宋体"/>
                <w:color w:val="000000"/>
                <w:kern w:val="2"/>
                <w:sz w:val="21"/>
                <w:szCs w:val="21"/>
                <w:lang w:val="en-US" w:eastAsia="zh-CN" w:bidi="ar-SA"/>
              </w:rPr>
            </w:pPr>
            <w:r>
              <w:rPr>
                <w:rFonts w:hint="default" w:ascii="宋体" w:hAnsi="宋体" w:cs="宋体"/>
                <w:color w:val="000000"/>
                <w:kern w:val="0"/>
                <w:sz w:val="21"/>
                <w:szCs w:val="21"/>
                <w:lang w:bidi="ar"/>
              </w:rPr>
              <w:t>显示器</w:t>
            </w:r>
          </w:p>
        </w:tc>
        <w:tc>
          <w:tcPr>
            <w:tcW w:w="255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FC8A4D9">
            <w:pPr>
              <w:shd w:val="clear"/>
              <w:spacing w:beforeLines="0" w:afterLines="0"/>
              <w:rPr>
                <w:rFonts w:hint="default" w:ascii="宋体" w:hAnsi="宋体" w:eastAsia="宋体" w:cs="宋体"/>
                <w:color w:val="000000"/>
                <w:kern w:val="2"/>
                <w:sz w:val="21"/>
                <w:szCs w:val="21"/>
                <w:lang w:val="en-US" w:eastAsia="zh-CN" w:bidi="ar-SA"/>
              </w:rPr>
            </w:pPr>
            <w:r>
              <w:rPr>
                <w:rFonts w:hint="default" w:ascii="宋体" w:hAnsi="宋体" w:cs="宋体"/>
                <w:color w:val="000000"/>
                <w:sz w:val="21"/>
                <w:szCs w:val="21"/>
              </w:rPr>
              <w:t>联想/惠普/戴尔/长城/华为等</w:t>
            </w:r>
          </w:p>
        </w:tc>
        <w:tc>
          <w:tcPr>
            <w:tcW w:w="84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7905887">
            <w:pPr>
              <w:widowControl/>
              <w:shd w:val="clear"/>
              <w:spacing w:beforeLines="0" w:afterLines="0"/>
              <w:jc w:val="center"/>
              <w:textAlignment w:val="center"/>
              <w:rPr>
                <w:rFonts w:hint="default" w:ascii="宋体" w:hAnsi="宋体" w:eastAsia="宋体" w:cs="宋体"/>
                <w:color w:val="000000"/>
                <w:kern w:val="2"/>
                <w:sz w:val="21"/>
                <w:szCs w:val="21"/>
                <w:lang w:val="en-US" w:eastAsia="zh-CN" w:bidi="ar-SA"/>
              </w:rPr>
            </w:pPr>
            <w:r>
              <w:rPr>
                <w:rFonts w:hint="default" w:ascii="宋体" w:hAnsi="宋体" w:cs="宋体"/>
                <w:color w:val="000000"/>
                <w:kern w:val="0"/>
                <w:sz w:val="21"/>
                <w:szCs w:val="21"/>
                <w:lang w:bidi="ar"/>
              </w:rPr>
              <w:t>台</w:t>
            </w:r>
          </w:p>
        </w:tc>
        <w:tc>
          <w:tcPr>
            <w:tcW w:w="13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D61A83E">
            <w:pPr>
              <w:widowControl/>
              <w:shd w:val="clear"/>
              <w:spacing w:beforeLines="0" w:afterLines="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2939</w:t>
            </w:r>
          </w:p>
        </w:tc>
      </w:tr>
      <w:tr w14:paraId="0BA5B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89C5A0">
            <w:pPr>
              <w:widowControl/>
              <w:shd w:val="clear"/>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3</w:t>
            </w:r>
          </w:p>
        </w:tc>
        <w:tc>
          <w:tcPr>
            <w:tcW w:w="210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67D924A">
            <w:pPr>
              <w:widowControl/>
              <w:shd w:val="clear"/>
              <w:spacing w:beforeLines="0" w:afterLines="0"/>
              <w:jc w:val="center"/>
              <w:textAlignment w:val="center"/>
              <w:rPr>
                <w:rFonts w:hint="default" w:ascii="宋体" w:hAnsi="宋体" w:eastAsia="宋体" w:cs="宋体"/>
                <w:color w:val="000000"/>
                <w:kern w:val="2"/>
                <w:sz w:val="21"/>
                <w:szCs w:val="21"/>
                <w:lang w:val="en-US" w:eastAsia="zh-CN" w:bidi="ar-SA"/>
              </w:rPr>
            </w:pPr>
            <w:r>
              <w:rPr>
                <w:rFonts w:hint="default" w:ascii="宋体" w:hAnsi="宋体" w:cs="宋体"/>
                <w:color w:val="000000"/>
                <w:kern w:val="0"/>
                <w:sz w:val="21"/>
                <w:szCs w:val="21"/>
                <w:lang w:bidi="ar"/>
              </w:rPr>
              <w:t>打印机</w:t>
            </w:r>
          </w:p>
        </w:tc>
        <w:tc>
          <w:tcPr>
            <w:tcW w:w="255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55355AF">
            <w:pPr>
              <w:shd w:val="clear"/>
              <w:spacing w:beforeLines="0" w:afterLines="0"/>
              <w:jc w:val="center"/>
              <w:rPr>
                <w:rFonts w:hint="default" w:ascii="宋体" w:hAnsi="宋体" w:eastAsia="宋体" w:cs="宋体"/>
                <w:color w:val="000000"/>
                <w:kern w:val="2"/>
                <w:sz w:val="21"/>
                <w:szCs w:val="21"/>
                <w:lang w:val="en-US" w:eastAsia="zh-CN" w:bidi="ar-SA"/>
              </w:rPr>
            </w:pPr>
            <w:r>
              <w:rPr>
                <w:rFonts w:hint="default" w:ascii="宋体" w:hAnsi="宋体" w:cs="宋体"/>
                <w:color w:val="000000"/>
                <w:sz w:val="21"/>
                <w:szCs w:val="21"/>
              </w:rPr>
              <w:t>HP/兄弟/理光等</w:t>
            </w:r>
          </w:p>
        </w:tc>
        <w:tc>
          <w:tcPr>
            <w:tcW w:w="84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7CC0FF6">
            <w:pPr>
              <w:widowControl/>
              <w:shd w:val="clear"/>
              <w:spacing w:beforeLines="0" w:afterLines="0"/>
              <w:jc w:val="center"/>
              <w:textAlignment w:val="center"/>
              <w:rPr>
                <w:rFonts w:hint="default" w:ascii="宋体" w:hAnsi="宋体" w:eastAsia="宋体" w:cs="宋体"/>
                <w:color w:val="000000"/>
                <w:kern w:val="2"/>
                <w:sz w:val="21"/>
                <w:szCs w:val="21"/>
                <w:lang w:val="en-US" w:eastAsia="zh-CN" w:bidi="ar-SA"/>
              </w:rPr>
            </w:pPr>
            <w:r>
              <w:rPr>
                <w:rFonts w:hint="default" w:ascii="宋体" w:hAnsi="宋体" w:cs="宋体"/>
                <w:color w:val="000000"/>
                <w:kern w:val="0"/>
                <w:sz w:val="21"/>
                <w:szCs w:val="21"/>
                <w:lang w:bidi="ar"/>
              </w:rPr>
              <w:t>台</w:t>
            </w:r>
          </w:p>
        </w:tc>
        <w:tc>
          <w:tcPr>
            <w:tcW w:w="13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AAC3EB9">
            <w:pPr>
              <w:widowControl/>
              <w:shd w:val="clear"/>
              <w:spacing w:beforeLines="0" w:afterLines="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1200</w:t>
            </w:r>
          </w:p>
        </w:tc>
      </w:tr>
      <w:tr w14:paraId="56AB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51EEC0">
            <w:pPr>
              <w:widowControl/>
              <w:shd w:val="clear"/>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4</w:t>
            </w:r>
          </w:p>
        </w:tc>
        <w:tc>
          <w:tcPr>
            <w:tcW w:w="210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531B92E">
            <w:pPr>
              <w:widowControl/>
              <w:shd w:val="clear"/>
              <w:spacing w:beforeLines="0" w:afterLines="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复印机</w:t>
            </w:r>
          </w:p>
        </w:tc>
        <w:tc>
          <w:tcPr>
            <w:tcW w:w="255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2D73EAB">
            <w:pPr>
              <w:widowControl/>
              <w:shd w:val="clear"/>
              <w:spacing w:beforeLines="0" w:afterLines="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HP/理光等</w:t>
            </w:r>
          </w:p>
        </w:tc>
        <w:tc>
          <w:tcPr>
            <w:tcW w:w="84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476971A">
            <w:pPr>
              <w:widowControl/>
              <w:shd w:val="clear"/>
              <w:spacing w:beforeLines="0" w:afterLines="0"/>
              <w:jc w:val="center"/>
              <w:textAlignment w:val="center"/>
              <w:rPr>
                <w:rFonts w:hint="default" w:ascii="宋体" w:hAnsi="宋体" w:eastAsia="宋体" w:cs="宋体"/>
                <w:color w:val="000000"/>
                <w:kern w:val="2"/>
                <w:sz w:val="21"/>
                <w:szCs w:val="21"/>
                <w:lang w:val="en-US" w:eastAsia="zh-CN" w:bidi="ar-SA"/>
              </w:rPr>
            </w:pPr>
            <w:r>
              <w:rPr>
                <w:rFonts w:hint="default" w:ascii="宋体" w:hAnsi="宋体" w:cs="宋体"/>
                <w:color w:val="000000"/>
                <w:kern w:val="0"/>
                <w:sz w:val="21"/>
                <w:szCs w:val="21"/>
                <w:lang w:bidi="ar"/>
              </w:rPr>
              <w:t>台</w:t>
            </w:r>
          </w:p>
        </w:tc>
        <w:tc>
          <w:tcPr>
            <w:tcW w:w="13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3B1B83A">
            <w:pPr>
              <w:widowControl/>
              <w:shd w:val="clear"/>
              <w:spacing w:beforeLines="0" w:afterLines="0"/>
              <w:jc w:val="center"/>
              <w:textAlignment w:val="center"/>
              <w:rPr>
                <w:rFonts w:hint="default"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80</w:t>
            </w:r>
          </w:p>
        </w:tc>
      </w:tr>
      <w:tr w14:paraId="68021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A6F555">
            <w:pPr>
              <w:widowControl/>
              <w:shd w:val="clear"/>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5</w:t>
            </w:r>
          </w:p>
        </w:tc>
        <w:tc>
          <w:tcPr>
            <w:tcW w:w="210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52C09E2">
            <w:pPr>
              <w:widowControl/>
              <w:shd w:val="clear"/>
              <w:spacing w:beforeLines="0" w:afterLines="0"/>
              <w:jc w:val="center"/>
              <w:textAlignment w:val="center"/>
              <w:rPr>
                <w:rFonts w:hint="default" w:ascii="宋体" w:hAnsi="宋体" w:eastAsia="宋体" w:cs="宋体"/>
                <w:color w:val="000000"/>
                <w:kern w:val="2"/>
                <w:sz w:val="21"/>
                <w:szCs w:val="21"/>
                <w:lang w:val="en-US" w:eastAsia="zh-CN" w:bidi="ar-SA"/>
              </w:rPr>
            </w:pPr>
            <w:r>
              <w:rPr>
                <w:rFonts w:hint="default" w:ascii="宋体" w:hAnsi="宋体" w:cs="宋体"/>
                <w:color w:val="000000"/>
                <w:kern w:val="0"/>
                <w:sz w:val="21"/>
                <w:szCs w:val="21"/>
                <w:lang w:bidi="ar"/>
              </w:rPr>
              <w:t>平板电脑</w:t>
            </w:r>
          </w:p>
        </w:tc>
        <w:tc>
          <w:tcPr>
            <w:tcW w:w="255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98D13D7">
            <w:pPr>
              <w:widowControl/>
              <w:shd w:val="clear"/>
              <w:spacing w:beforeLines="0" w:afterLines="0"/>
              <w:jc w:val="center"/>
              <w:textAlignment w:val="center"/>
              <w:rPr>
                <w:rFonts w:hint="default" w:ascii="宋体" w:hAnsi="宋体" w:eastAsia="宋体" w:cs="宋体"/>
                <w:color w:val="000000"/>
                <w:kern w:val="2"/>
                <w:sz w:val="21"/>
                <w:szCs w:val="21"/>
                <w:lang w:val="en-US" w:eastAsia="zh-CN" w:bidi="ar-SA"/>
              </w:rPr>
            </w:pPr>
            <w:r>
              <w:rPr>
                <w:rFonts w:hint="default" w:ascii="宋体" w:hAnsi="宋体" w:cs="宋体"/>
                <w:color w:val="000000"/>
                <w:sz w:val="21"/>
                <w:szCs w:val="21"/>
              </w:rPr>
              <w:t>联想/惠普/戴尔</w:t>
            </w:r>
            <w:r>
              <w:rPr>
                <w:rFonts w:hint="eastAsia" w:ascii="宋体" w:hAnsi="宋体" w:cs="宋体"/>
                <w:color w:val="000000"/>
                <w:sz w:val="21"/>
                <w:szCs w:val="21"/>
                <w:lang w:eastAsia="zh-CN"/>
              </w:rPr>
              <w:t>等</w:t>
            </w:r>
          </w:p>
        </w:tc>
        <w:tc>
          <w:tcPr>
            <w:tcW w:w="84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0B63451">
            <w:pPr>
              <w:widowControl/>
              <w:shd w:val="clear"/>
              <w:spacing w:beforeLines="0" w:afterLines="0"/>
              <w:jc w:val="center"/>
              <w:textAlignment w:val="center"/>
              <w:rPr>
                <w:rFonts w:hint="default" w:ascii="宋体" w:hAnsi="宋体" w:eastAsia="宋体" w:cs="宋体"/>
                <w:color w:val="000000"/>
                <w:kern w:val="2"/>
                <w:sz w:val="21"/>
                <w:szCs w:val="21"/>
                <w:lang w:val="en-US" w:eastAsia="zh-CN" w:bidi="ar-SA"/>
              </w:rPr>
            </w:pPr>
            <w:r>
              <w:rPr>
                <w:rFonts w:hint="default" w:ascii="宋体" w:hAnsi="宋体" w:cs="宋体"/>
                <w:color w:val="000000"/>
                <w:kern w:val="0"/>
                <w:sz w:val="21"/>
                <w:szCs w:val="21"/>
                <w:lang w:bidi="ar"/>
              </w:rPr>
              <w:t>台</w:t>
            </w:r>
          </w:p>
        </w:tc>
        <w:tc>
          <w:tcPr>
            <w:tcW w:w="13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0F3C806">
            <w:pPr>
              <w:widowControl/>
              <w:shd w:val="clear"/>
              <w:spacing w:beforeLines="0" w:afterLines="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132</w:t>
            </w:r>
          </w:p>
        </w:tc>
      </w:tr>
      <w:tr w14:paraId="62FC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93C76C">
            <w:pPr>
              <w:widowControl/>
              <w:shd w:val="clear"/>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6</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9FF5AFD">
            <w:pPr>
              <w:widowControl/>
              <w:shd w:val="clear"/>
              <w:spacing w:beforeLines="0" w:afterLines="0"/>
              <w:jc w:val="center"/>
              <w:textAlignment w:val="center"/>
              <w:rPr>
                <w:rFonts w:hint="default" w:ascii="宋体" w:hAnsi="宋体" w:cs="宋体"/>
                <w:color w:val="000000"/>
                <w:sz w:val="21"/>
                <w:szCs w:val="21"/>
              </w:rPr>
            </w:pPr>
            <w:r>
              <w:rPr>
                <w:rFonts w:hint="default" w:ascii="宋体" w:hAnsi="宋体" w:cs="宋体"/>
                <w:color w:val="000000"/>
                <w:sz w:val="21"/>
                <w:szCs w:val="21"/>
              </w:rPr>
              <w:t>低端网络楼层交换机</w:t>
            </w:r>
          </w:p>
        </w:tc>
        <w:tc>
          <w:tcPr>
            <w:tcW w:w="2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5CD886">
            <w:pPr>
              <w:widowControl/>
              <w:shd w:val="clear"/>
              <w:spacing w:beforeLines="0" w:afterLines="0"/>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华为/H3C</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007B74">
            <w:pPr>
              <w:widowControl/>
              <w:shd w:val="clear"/>
              <w:spacing w:beforeLines="0" w:afterLines="0"/>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台</w:t>
            </w:r>
          </w:p>
        </w:tc>
        <w:tc>
          <w:tcPr>
            <w:tcW w:w="134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4F811C">
            <w:pPr>
              <w:widowControl/>
              <w:shd w:val="clear"/>
              <w:spacing w:beforeLines="0" w:afterLines="0"/>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150</w:t>
            </w:r>
          </w:p>
        </w:tc>
      </w:tr>
      <w:tr w14:paraId="33FC4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8A7C2E">
            <w:pPr>
              <w:shd w:val="clear"/>
              <w:spacing w:beforeLines="0" w:afterLines="0"/>
              <w:jc w:val="center"/>
              <w:rPr>
                <w:rFonts w:hint="default" w:ascii="宋体"/>
                <w:sz w:val="21"/>
                <w:szCs w:val="24"/>
              </w:rPr>
            </w:pPr>
            <w:r>
              <w:rPr>
                <w:rFonts w:hint="default" w:ascii="宋体"/>
                <w:sz w:val="21"/>
                <w:szCs w:val="24"/>
              </w:rPr>
              <w:t>7</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541A87">
            <w:pPr>
              <w:shd w:val="clear"/>
              <w:spacing w:beforeLines="0" w:afterLines="0"/>
              <w:jc w:val="center"/>
              <w:rPr>
                <w:rFonts w:hint="default"/>
                <w:sz w:val="21"/>
                <w:szCs w:val="24"/>
              </w:rPr>
            </w:pPr>
            <w:r>
              <w:rPr>
                <w:rFonts w:hint="default" w:ascii="宋体"/>
                <w:sz w:val="21"/>
                <w:szCs w:val="24"/>
              </w:rPr>
              <w:t>其他信息化设备</w:t>
            </w:r>
          </w:p>
        </w:tc>
        <w:tc>
          <w:tcPr>
            <w:tcW w:w="25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5816B3">
            <w:pPr>
              <w:shd w:val="clear"/>
              <w:spacing w:beforeLines="0" w:afterLines="0"/>
              <w:jc w:val="center"/>
              <w:rPr>
                <w:rFonts w:hint="default"/>
                <w:sz w:val="21"/>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F6182B">
            <w:pPr>
              <w:shd w:val="clear"/>
              <w:spacing w:beforeLines="0" w:afterLines="0"/>
              <w:jc w:val="center"/>
              <w:rPr>
                <w:rFonts w:hint="default" w:ascii="宋体"/>
                <w:sz w:val="21"/>
                <w:szCs w:val="24"/>
              </w:rPr>
            </w:pPr>
            <w:r>
              <w:rPr>
                <w:rFonts w:hint="default" w:ascii="宋体"/>
                <w:sz w:val="21"/>
                <w:szCs w:val="24"/>
              </w:rPr>
              <w:t>台</w:t>
            </w:r>
          </w:p>
        </w:tc>
        <w:tc>
          <w:tcPr>
            <w:tcW w:w="134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4519E4">
            <w:pPr>
              <w:shd w:val="clear"/>
              <w:spacing w:beforeLines="0" w:afterLines="0"/>
              <w:jc w:val="center"/>
              <w:rPr>
                <w:rFonts w:hint="default" w:eastAsia="宋体"/>
                <w:sz w:val="21"/>
                <w:szCs w:val="24"/>
                <w:lang w:val="en-US" w:eastAsia="zh-CN"/>
              </w:rPr>
            </w:pPr>
            <w:r>
              <w:rPr>
                <w:rFonts w:hint="eastAsia" w:ascii="宋体"/>
                <w:sz w:val="21"/>
                <w:szCs w:val="24"/>
                <w:lang w:val="en-US" w:eastAsia="zh-CN"/>
              </w:rPr>
              <w:t>600</w:t>
            </w:r>
          </w:p>
        </w:tc>
      </w:tr>
    </w:tbl>
    <w:p w14:paraId="1692E3AF">
      <w:pPr>
        <w:pStyle w:val="4"/>
        <w:rPr>
          <w:rFonts w:hint="eastAsia"/>
        </w:rPr>
      </w:pPr>
    </w:p>
    <w:p w14:paraId="22446579">
      <w:pPr>
        <w:numPr>
          <w:ilvl w:val="-1"/>
          <w:numId w:val="0"/>
        </w:numPr>
        <w:spacing w:line="460" w:lineRule="exact"/>
        <w:ind w:left="0" w:leftChars="0" w:firstLine="422" w:firstLineChars="200"/>
        <w:rPr>
          <w:rFonts w:hint="default"/>
          <w:b/>
          <w:bCs/>
          <w:highlight w:val="none"/>
          <w:lang w:val="en-US" w:eastAsia="zh-CN"/>
        </w:rPr>
      </w:pPr>
      <w:r>
        <w:rPr>
          <w:rFonts w:hint="eastAsia"/>
          <w:b/>
          <w:bCs/>
          <w:highlight w:val="none"/>
          <w:lang w:val="en-US" w:eastAsia="zh-CN"/>
        </w:rPr>
        <w:t>中山市政务服务中心设备明细：</w:t>
      </w:r>
    </w:p>
    <w:tbl>
      <w:tblPr>
        <w:tblStyle w:val="8"/>
        <w:tblpPr w:leftFromText="180" w:rightFromText="180" w:vertAnchor="text" w:horzAnchor="page" w:tblpX="2357" w:tblpY="99"/>
        <w:tblOverlap w:val="never"/>
        <w:tblW w:w="7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7"/>
        <w:gridCol w:w="2106"/>
        <w:gridCol w:w="2559"/>
        <w:gridCol w:w="840"/>
        <w:gridCol w:w="1344"/>
      </w:tblGrid>
      <w:tr w14:paraId="2DA3E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67" w:type="dxa"/>
            <w:tcBorders>
              <w:top w:val="single" w:color="000000" w:sz="4" w:space="0"/>
              <w:left w:val="single" w:color="000000" w:sz="4" w:space="0"/>
              <w:bottom w:val="single" w:color="000000" w:sz="4" w:space="0"/>
              <w:right w:val="single" w:color="000000" w:sz="4" w:space="0"/>
              <w:tl2br w:val="nil"/>
              <w:tr2bl w:val="nil"/>
            </w:tcBorders>
            <w:shd w:val="clear" w:color="auto" w:fill="A6A6A6"/>
            <w:noWrap/>
            <w:vAlign w:val="center"/>
          </w:tcPr>
          <w:p w14:paraId="39FF09C0">
            <w:pPr>
              <w:widowControl/>
              <w:spacing w:beforeLines="0" w:afterLines="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序号</w:t>
            </w:r>
          </w:p>
        </w:tc>
        <w:tc>
          <w:tcPr>
            <w:tcW w:w="2106" w:type="dxa"/>
            <w:tcBorders>
              <w:top w:val="single" w:color="000000" w:sz="4" w:space="0"/>
              <w:left w:val="single" w:color="000000" w:sz="4" w:space="0"/>
              <w:bottom w:val="single" w:color="000000" w:sz="4" w:space="0"/>
              <w:right w:val="single" w:color="000000" w:sz="4" w:space="0"/>
              <w:tl2br w:val="nil"/>
              <w:tr2bl w:val="nil"/>
            </w:tcBorders>
            <w:shd w:val="clear" w:color="auto" w:fill="A6A6A6"/>
            <w:noWrap/>
            <w:vAlign w:val="center"/>
          </w:tcPr>
          <w:p w14:paraId="0EC2E0EC">
            <w:pPr>
              <w:widowControl/>
              <w:spacing w:beforeLines="0" w:afterLines="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分项名称</w:t>
            </w:r>
          </w:p>
        </w:tc>
        <w:tc>
          <w:tcPr>
            <w:tcW w:w="2559" w:type="dxa"/>
            <w:tcBorders>
              <w:top w:val="single" w:color="000000" w:sz="4" w:space="0"/>
              <w:left w:val="single" w:color="000000" w:sz="4" w:space="0"/>
              <w:bottom w:val="single" w:color="000000" w:sz="4" w:space="0"/>
              <w:right w:val="single" w:color="000000" w:sz="4" w:space="0"/>
              <w:tl2br w:val="nil"/>
              <w:tr2bl w:val="nil"/>
            </w:tcBorders>
            <w:shd w:val="clear" w:color="auto" w:fill="A6A6A6"/>
            <w:noWrap w:val="0"/>
            <w:vAlign w:val="center"/>
          </w:tcPr>
          <w:p w14:paraId="4C7BF052">
            <w:pPr>
              <w:widowControl/>
              <w:spacing w:beforeLines="0" w:afterLines="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品牌、规格型号、主要技术参数</w:t>
            </w:r>
          </w:p>
        </w:tc>
        <w:tc>
          <w:tcPr>
            <w:tcW w:w="840" w:type="dxa"/>
            <w:tcBorders>
              <w:top w:val="single" w:color="000000" w:sz="4" w:space="0"/>
              <w:left w:val="single" w:color="000000" w:sz="4" w:space="0"/>
              <w:bottom w:val="single" w:color="000000" w:sz="4" w:space="0"/>
              <w:right w:val="single" w:color="000000" w:sz="4" w:space="0"/>
              <w:tl2br w:val="nil"/>
              <w:tr2bl w:val="nil"/>
            </w:tcBorders>
            <w:shd w:val="clear" w:color="auto" w:fill="A6A6A6"/>
            <w:noWrap/>
            <w:vAlign w:val="center"/>
          </w:tcPr>
          <w:p w14:paraId="433472BC">
            <w:pPr>
              <w:widowControl/>
              <w:spacing w:beforeLines="0" w:afterLines="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单位</w:t>
            </w:r>
          </w:p>
        </w:tc>
        <w:tc>
          <w:tcPr>
            <w:tcW w:w="1344" w:type="dxa"/>
            <w:tcBorders>
              <w:top w:val="single" w:color="000000" w:sz="4" w:space="0"/>
              <w:left w:val="single" w:color="000000" w:sz="4" w:space="0"/>
              <w:bottom w:val="single" w:color="000000" w:sz="4" w:space="0"/>
              <w:right w:val="single" w:color="000000" w:sz="4" w:space="0"/>
              <w:tl2br w:val="nil"/>
              <w:tr2bl w:val="nil"/>
            </w:tcBorders>
            <w:shd w:val="clear" w:color="auto" w:fill="A6A6A6"/>
            <w:noWrap/>
            <w:vAlign w:val="center"/>
          </w:tcPr>
          <w:p w14:paraId="7C73319A">
            <w:pPr>
              <w:widowControl/>
              <w:spacing w:beforeLines="0" w:afterLines="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数量</w:t>
            </w:r>
          </w:p>
        </w:tc>
      </w:tr>
      <w:tr w14:paraId="148C5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1111E3">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1</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DA1375">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PC主机（</w:t>
            </w:r>
            <w:r>
              <w:rPr>
                <w:rFonts w:hint="default" w:ascii="宋体" w:hAnsi="宋体" w:cs="宋体"/>
                <w:color w:val="000000"/>
                <w:sz w:val="21"/>
                <w:szCs w:val="21"/>
              </w:rPr>
              <w:t>Windows</w:t>
            </w:r>
            <w:r>
              <w:rPr>
                <w:rFonts w:hint="default" w:ascii="宋体" w:hAnsi="宋体" w:cs="宋体"/>
                <w:color w:val="000000"/>
                <w:kern w:val="0"/>
                <w:sz w:val="21"/>
                <w:szCs w:val="21"/>
                <w:lang w:bidi="ar"/>
              </w:rPr>
              <w:t>）</w:t>
            </w:r>
          </w:p>
        </w:tc>
        <w:tc>
          <w:tcPr>
            <w:tcW w:w="2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D893B">
            <w:pPr>
              <w:spacing w:beforeLines="0" w:afterLines="0"/>
              <w:rPr>
                <w:rFonts w:hint="default" w:ascii="宋体" w:hAnsi="宋体" w:cs="宋体"/>
                <w:color w:val="000000"/>
                <w:sz w:val="21"/>
                <w:szCs w:val="21"/>
              </w:rPr>
            </w:pPr>
            <w:r>
              <w:rPr>
                <w:rFonts w:hint="default" w:ascii="宋体" w:hAnsi="宋体" w:cs="宋体"/>
                <w:color w:val="000000"/>
                <w:sz w:val="21"/>
                <w:szCs w:val="21"/>
              </w:rPr>
              <w:t>组装机/联想/惠普/戴尔等</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D0B220">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台</w:t>
            </w:r>
          </w:p>
        </w:tc>
        <w:tc>
          <w:tcPr>
            <w:tcW w:w="134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4DC29C">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901</w:t>
            </w:r>
          </w:p>
        </w:tc>
      </w:tr>
      <w:tr w14:paraId="59B3A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7CEEB3">
            <w:pPr>
              <w:widowControl/>
              <w:spacing w:beforeLines="0" w:afterLines="0"/>
              <w:jc w:val="center"/>
              <w:textAlignment w:val="center"/>
              <w:rPr>
                <w:rFonts w:hint="default" w:ascii="宋体" w:hAnsi="宋体" w:cs="宋体"/>
                <w:color w:val="000000"/>
                <w:kern w:val="0"/>
                <w:sz w:val="21"/>
                <w:szCs w:val="21"/>
                <w:lang w:bidi="ar"/>
              </w:rPr>
            </w:pPr>
            <w:r>
              <w:rPr>
                <w:rFonts w:hint="default" w:ascii="宋体" w:hAnsi="宋体" w:cs="宋体"/>
                <w:color w:val="000000"/>
                <w:kern w:val="0"/>
                <w:sz w:val="21"/>
                <w:szCs w:val="21"/>
                <w:lang w:bidi="ar"/>
              </w:rPr>
              <w:t>2</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AE6B85">
            <w:pPr>
              <w:widowControl/>
              <w:spacing w:beforeLines="0" w:afterLines="0"/>
              <w:jc w:val="center"/>
              <w:textAlignment w:val="center"/>
              <w:rPr>
                <w:rFonts w:hint="default" w:ascii="宋体" w:hAnsi="宋体" w:cs="宋体"/>
                <w:color w:val="000000"/>
                <w:kern w:val="0"/>
                <w:sz w:val="21"/>
                <w:szCs w:val="21"/>
                <w:lang w:bidi="ar"/>
              </w:rPr>
            </w:pPr>
            <w:r>
              <w:rPr>
                <w:rFonts w:hint="default" w:ascii="宋体" w:hAnsi="宋体" w:cs="宋体"/>
                <w:color w:val="000000"/>
                <w:kern w:val="0"/>
                <w:sz w:val="21"/>
                <w:szCs w:val="21"/>
                <w:lang w:bidi="ar"/>
              </w:rPr>
              <w:t>PC主机（统信）</w:t>
            </w:r>
          </w:p>
        </w:tc>
        <w:tc>
          <w:tcPr>
            <w:tcW w:w="2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E1665">
            <w:pPr>
              <w:spacing w:beforeLines="0" w:afterLines="0"/>
              <w:jc w:val="center"/>
              <w:rPr>
                <w:rFonts w:hint="default" w:ascii="宋体" w:hAnsi="宋体" w:cs="宋体"/>
                <w:color w:val="000000"/>
                <w:sz w:val="21"/>
                <w:szCs w:val="21"/>
              </w:rPr>
            </w:pPr>
            <w:r>
              <w:rPr>
                <w:rFonts w:hint="default" w:ascii="宋体" w:hAnsi="宋体" w:cs="宋体"/>
                <w:color w:val="000000"/>
                <w:sz w:val="21"/>
                <w:szCs w:val="21"/>
              </w:rPr>
              <w:t>长城/华为</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2484D4">
            <w:pPr>
              <w:widowControl/>
              <w:spacing w:beforeLines="0" w:afterLines="0"/>
              <w:jc w:val="center"/>
              <w:textAlignment w:val="center"/>
              <w:rPr>
                <w:rFonts w:hint="default" w:ascii="宋体" w:hAnsi="宋体" w:cs="宋体"/>
                <w:color w:val="000000"/>
                <w:kern w:val="0"/>
                <w:sz w:val="21"/>
                <w:szCs w:val="21"/>
                <w:lang w:bidi="ar"/>
              </w:rPr>
            </w:pPr>
            <w:r>
              <w:rPr>
                <w:rFonts w:hint="default" w:ascii="宋体" w:hAnsi="宋体" w:cs="宋体"/>
                <w:color w:val="000000"/>
                <w:kern w:val="0"/>
                <w:sz w:val="21"/>
                <w:szCs w:val="21"/>
                <w:lang w:bidi="ar"/>
              </w:rPr>
              <w:t>台</w:t>
            </w:r>
          </w:p>
        </w:tc>
        <w:tc>
          <w:tcPr>
            <w:tcW w:w="134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06CD03">
            <w:pPr>
              <w:widowControl/>
              <w:spacing w:beforeLines="0" w:afterLines="0"/>
              <w:jc w:val="center"/>
              <w:textAlignment w:val="center"/>
              <w:rPr>
                <w:rFonts w:hint="default" w:ascii="宋体" w:hAnsi="宋体" w:cs="宋体"/>
                <w:color w:val="000000"/>
                <w:kern w:val="0"/>
                <w:sz w:val="21"/>
                <w:szCs w:val="21"/>
                <w:lang w:bidi="ar"/>
              </w:rPr>
            </w:pPr>
            <w:r>
              <w:rPr>
                <w:rFonts w:hint="default" w:ascii="宋体" w:hAnsi="宋体" w:cs="宋体"/>
                <w:color w:val="000000"/>
                <w:kern w:val="0"/>
                <w:sz w:val="21"/>
                <w:szCs w:val="21"/>
                <w:lang w:bidi="ar"/>
              </w:rPr>
              <w:t>49</w:t>
            </w:r>
          </w:p>
        </w:tc>
      </w:tr>
      <w:tr w14:paraId="4ADA2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429C13">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3</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F02D19E">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显示器</w:t>
            </w:r>
          </w:p>
        </w:tc>
        <w:tc>
          <w:tcPr>
            <w:tcW w:w="2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255FFF">
            <w:pPr>
              <w:spacing w:beforeLines="0" w:afterLines="0"/>
              <w:rPr>
                <w:rFonts w:hint="default" w:ascii="宋体" w:hAnsi="宋体" w:cs="宋体"/>
                <w:color w:val="000000"/>
                <w:sz w:val="21"/>
                <w:szCs w:val="21"/>
              </w:rPr>
            </w:pPr>
            <w:r>
              <w:rPr>
                <w:rFonts w:hint="default" w:ascii="宋体" w:hAnsi="宋体" w:cs="宋体"/>
                <w:color w:val="000000"/>
                <w:sz w:val="21"/>
                <w:szCs w:val="21"/>
              </w:rPr>
              <w:t>noc /联想/惠普/戴尔/长城/华为等</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8E5B58">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台</w:t>
            </w:r>
          </w:p>
        </w:tc>
        <w:tc>
          <w:tcPr>
            <w:tcW w:w="134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0FD889">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950</w:t>
            </w:r>
          </w:p>
        </w:tc>
      </w:tr>
      <w:tr w14:paraId="79925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7DAE75">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4</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27BABD">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打印机</w:t>
            </w:r>
          </w:p>
        </w:tc>
        <w:tc>
          <w:tcPr>
            <w:tcW w:w="2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72EEA6">
            <w:pPr>
              <w:spacing w:beforeLines="0" w:afterLines="0"/>
              <w:jc w:val="center"/>
              <w:rPr>
                <w:rFonts w:hint="default" w:ascii="宋体" w:hAnsi="宋体" w:cs="宋体"/>
                <w:color w:val="000000"/>
                <w:sz w:val="21"/>
                <w:szCs w:val="21"/>
              </w:rPr>
            </w:pPr>
            <w:r>
              <w:rPr>
                <w:rFonts w:hint="default" w:ascii="宋体" w:hAnsi="宋体" w:cs="宋体"/>
                <w:color w:val="000000"/>
                <w:sz w:val="21"/>
                <w:szCs w:val="21"/>
              </w:rPr>
              <w:t>HP/兄弟/理光等</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E418EE">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台</w:t>
            </w:r>
          </w:p>
        </w:tc>
        <w:tc>
          <w:tcPr>
            <w:tcW w:w="134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6DCE28">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500</w:t>
            </w:r>
          </w:p>
        </w:tc>
      </w:tr>
      <w:tr w14:paraId="07D69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E1830B">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5</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145742F">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竖式宣传屏</w:t>
            </w:r>
          </w:p>
        </w:tc>
        <w:tc>
          <w:tcPr>
            <w:tcW w:w="2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4FF5AE">
            <w:pPr>
              <w:spacing w:beforeLines="0" w:afterLines="0"/>
              <w:jc w:val="center"/>
              <w:rPr>
                <w:rFonts w:hint="default" w:ascii="宋体" w:hAnsi="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C1DD12">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台</w:t>
            </w:r>
          </w:p>
        </w:tc>
        <w:tc>
          <w:tcPr>
            <w:tcW w:w="134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9E9FAC7">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24</w:t>
            </w:r>
          </w:p>
        </w:tc>
      </w:tr>
      <w:tr w14:paraId="4F648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5A064B3">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6</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C04C27">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平板电脑</w:t>
            </w:r>
          </w:p>
        </w:tc>
        <w:tc>
          <w:tcPr>
            <w:tcW w:w="2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ECFDF">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M5</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9550A65">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台</w:t>
            </w:r>
          </w:p>
        </w:tc>
        <w:tc>
          <w:tcPr>
            <w:tcW w:w="134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C32229">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39</w:t>
            </w:r>
          </w:p>
        </w:tc>
      </w:tr>
      <w:tr w14:paraId="3317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E2F307">
            <w:pPr>
              <w:spacing w:beforeLines="0" w:afterLines="0"/>
              <w:jc w:val="center"/>
              <w:rPr>
                <w:rFonts w:hint="default" w:ascii="宋体"/>
                <w:sz w:val="21"/>
                <w:szCs w:val="24"/>
              </w:rPr>
            </w:pPr>
            <w:r>
              <w:rPr>
                <w:rFonts w:hint="default" w:ascii="宋体"/>
                <w:sz w:val="21"/>
                <w:szCs w:val="24"/>
              </w:rPr>
              <w:t>7</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E55382">
            <w:pPr>
              <w:spacing w:beforeLines="0" w:afterLines="0"/>
              <w:jc w:val="center"/>
              <w:rPr>
                <w:rFonts w:hint="default"/>
                <w:sz w:val="21"/>
                <w:szCs w:val="24"/>
              </w:rPr>
            </w:pPr>
            <w:r>
              <w:rPr>
                <w:rFonts w:hint="default" w:ascii="宋体"/>
                <w:sz w:val="21"/>
                <w:szCs w:val="24"/>
              </w:rPr>
              <w:t>其他桌面信息化设备</w:t>
            </w:r>
          </w:p>
        </w:tc>
        <w:tc>
          <w:tcPr>
            <w:tcW w:w="25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43B134">
            <w:pPr>
              <w:spacing w:beforeLines="0" w:afterLines="0"/>
              <w:jc w:val="center"/>
              <w:rPr>
                <w:rFonts w:hint="default"/>
                <w:sz w:val="21"/>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3FA499">
            <w:pPr>
              <w:spacing w:beforeLines="0" w:afterLines="0"/>
              <w:jc w:val="center"/>
              <w:rPr>
                <w:rFonts w:hint="default" w:ascii="宋体"/>
                <w:sz w:val="21"/>
                <w:szCs w:val="24"/>
              </w:rPr>
            </w:pPr>
            <w:r>
              <w:rPr>
                <w:rFonts w:hint="default" w:ascii="宋体"/>
                <w:sz w:val="21"/>
                <w:szCs w:val="24"/>
              </w:rPr>
              <w:t>台</w:t>
            </w:r>
          </w:p>
        </w:tc>
        <w:tc>
          <w:tcPr>
            <w:tcW w:w="134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8CA690">
            <w:pPr>
              <w:spacing w:beforeLines="0" w:afterLines="0"/>
              <w:jc w:val="center"/>
              <w:rPr>
                <w:rFonts w:hint="default"/>
                <w:sz w:val="21"/>
                <w:szCs w:val="24"/>
              </w:rPr>
            </w:pPr>
            <w:r>
              <w:rPr>
                <w:rFonts w:hint="default" w:ascii="宋体"/>
                <w:sz w:val="21"/>
                <w:szCs w:val="24"/>
              </w:rPr>
              <w:t>200</w:t>
            </w:r>
          </w:p>
        </w:tc>
      </w:tr>
    </w:tbl>
    <w:p w14:paraId="5BE2EC7C">
      <w:pPr>
        <w:spacing w:line="460" w:lineRule="exact"/>
        <w:ind w:left="283" w:leftChars="135" w:firstLine="424" w:firstLineChars="202"/>
        <w:rPr>
          <w:rFonts w:hint="eastAsia"/>
          <w:highlight w:val="none"/>
        </w:rPr>
      </w:pPr>
    </w:p>
    <w:p w14:paraId="490BF643">
      <w:pPr>
        <w:spacing w:line="460" w:lineRule="exact"/>
        <w:ind w:left="283" w:leftChars="135" w:firstLine="424" w:firstLineChars="202"/>
        <w:rPr>
          <w:rFonts w:hint="eastAsia"/>
          <w:sz w:val="21"/>
          <w:szCs w:val="21"/>
          <w:highlight w:val="none"/>
        </w:rPr>
      </w:pPr>
      <w:r>
        <w:rPr>
          <w:rFonts w:hint="eastAsia"/>
          <w:highlight w:val="none"/>
        </w:rPr>
        <w:t>(备注：如因工作需要，</w:t>
      </w:r>
      <w:r>
        <w:rPr>
          <w:rFonts w:hint="eastAsia"/>
          <w:highlight w:val="none"/>
          <w:lang w:eastAsia="zh-CN"/>
        </w:rPr>
        <w:t>市政府</w:t>
      </w:r>
      <w:r>
        <w:rPr>
          <w:rFonts w:hint="eastAsia"/>
          <w:highlight w:val="none"/>
        </w:rPr>
        <w:t>大院内</w:t>
      </w:r>
      <w:r>
        <w:rPr>
          <w:rFonts w:hint="eastAsia"/>
          <w:highlight w:val="none"/>
          <w:lang w:eastAsia="zh-CN"/>
        </w:rPr>
        <w:t>及中山市政务服务中心</w:t>
      </w:r>
      <w:r>
        <w:rPr>
          <w:rFonts w:hint="eastAsia"/>
          <w:highlight w:val="none"/>
        </w:rPr>
        <w:t>增加终端信息点，也纳入本项目的运维服务范围。）</w:t>
      </w:r>
    </w:p>
    <w:p w14:paraId="501C2E7D">
      <w:pPr>
        <w:widowControl/>
        <w:numPr>
          <w:ilvl w:val="1"/>
          <w:numId w:val="1"/>
        </w:numPr>
        <w:tabs>
          <w:tab w:val="left" w:pos="709"/>
        </w:tabs>
        <w:spacing w:line="460" w:lineRule="exact"/>
        <w:ind w:left="709" w:hanging="425"/>
        <w:jc w:val="left"/>
        <w:rPr>
          <w:b/>
          <w:bCs/>
          <w:highlight w:val="none"/>
        </w:rPr>
      </w:pPr>
      <w:r>
        <w:rPr>
          <w:rFonts w:hint="eastAsia"/>
          <w:b/>
          <w:bCs/>
          <w:highlight w:val="none"/>
          <w:lang w:eastAsia="zh-CN"/>
        </w:rPr>
        <w:t>市政府大院内及中山市政务服务中心</w:t>
      </w:r>
      <w:r>
        <w:rPr>
          <w:rFonts w:hint="eastAsia"/>
          <w:b/>
          <w:bCs/>
          <w:highlight w:val="none"/>
        </w:rPr>
        <w:t>网络的相关软件</w:t>
      </w:r>
    </w:p>
    <w:p w14:paraId="12D63D8F">
      <w:pPr>
        <w:numPr>
          <w:ilvl w:val="0"/>
          <w:numId w:val="2"/>
        </w:numPr>
        <w:tabs>
          <w:tab w:val="left" w:pos="709"/>
          <w:tab w:val="clear" w:pos="902"/>
        </w:tabs>
        <w:spacing w:line="460" w:lineRule="exact"/>
        <w:ind w:left="709" w:hanging="425"/>
        <w:rPr>
          <w:highlight w:val="none"/>
        </w:rPr>
      </w:pPr>
      <w:r>
        <w:rPr>
          <w:rFonts w:hint="eastAsia"/>
          <w:highlight w:val="none"/>
          <w:lang w:eastAsia="zh-CN"/>
        </w:rPr>
        <w:t>市政务</w:t>
      </w:r>
      <w:r>
        <w:rPr>
          <w:rFonts w:hint="eastAsia"/>
          <w:highlight w:val="none"/>
        </w:rPr>
        <w:t>外网用户电脑上的办公配套软件、操作系统、网内的信息系统和上互联网</w:t>
      </w:r>
      <w:r>
        <w:rPr>
          <w:rFonts w:hint="eastAsia"/>
          <w:highlight w:val="none"/>
          <w:lang w:eastAsia="zh-CN"/>
        </w:rPr>
        <w:t>必备的</w:t>
      </w:r>
      <w:r>
        <w:rPr>
          <w:rFonts w:hint="eastAsia"/>
          <w:highlight w:val="none"/>
        </w:rPr>
        <w:t>系统支持软件(如IE等)、安全保障软件（防病毒、防木马相关软件）。</w:t>
      </w:r>
    </w:p>
    <w:p w14:paraId="7E015F22">
      <w:pPr>
        <w:numPr>
          <w:ilvl w:val="0"/>
          <w:numId w:val="2"/>
        </w:numPr>
        <w:tabs>
          <w:tab w:val="left" w:pos="709"/>
          <w:tab w:val="clear" w:pos="902"/>
        </w:tabs>
        <w:spacing w:line="460" w:lineRule="exact"/>
        <w:ind w:left="709" w:hanging="425"/>
        <w:rPr>
          <w:highlight w:val="none"/>
        </w:rPr>
      </w:pPr>
      <w:r>
        <w:rPr>
          <w:rFonts w:hint="eastAsia"/>
          <w:highlight w:val="none"/>
          <w:lang w:val="en-US" w:eastAsia="zh-CN"/>
        </w:rPr>
        <w:t>省电子政务外网</w:t>
      </w:r>
      <w:r>
        <w:rPr>
          <w:rFonts w:hint="eastAsia"/>
          <w:highlight w:val="none"/>
        </w:rPr>
        <w:t>用户电脑上的办公配套软件、操作系统、网内的信息系统和上互联网</w:t>
      </w:r>
      <w:r>
        <w:rPr>
          <w:rFonts w:hint="eastAsia"/>
          <w:highlight w:val="none"/>
          <w:lang w:eastAsia="zh-CN"/>
        </w:rPr>
        <w:t>必备的</w:t>
      </w:r>
      <w:r>
        <w:rPr>
          <w:rFonts w:hint="eastAsia"/>
          <w:highlight w:val="none"/>
        </w:rPr>
        <w:t>系统支持软件(如IE等)、安全保障软件（防病毒、防木马相关软件）。</w:t>
      </w:r>
    </w:p>
    <w:p w14:paraId="48D1E6AC">
      <w:pPr>
        <w:numPr>
          <w:ilvl w:val="0"/>
          <w:numId w:val="2"/>
        </w:numPr>
        <w:tabs>
          <w:tab w:val="left" w:pos="709"/>
          <w:tab w:val="clear" w:pos="902"/>
        </w:tabs>
        <w:spacing w:line="460" w:lineRule="exact"/>
        <w:ind w:left="709" w:hanging="425"/>
        <w:rPr>
          <w:highlight w:val="none"/>
        </w:rPr>
      </w:pPr>
      <w:r>
        <w:rPr>
          <w:rFonts w:hint="eastAsia"/>
          <w:highlight w:val="none"/>
        </w:rPr>
        <w:t>打印机、复印机、一体机等办公设备的驱动安装程序。</w:t>
      </w:r>
    </w:p>
    <w:p w14:paraId="7E404083">
      <w:pPr>
        <w:pStyle w:val="4"/>
        <w:rPr>
          <w:rFonts w:hint="default" w:eastAsia="宋体"/>
          <w:lang w:val="en-US" w:eastAsia="zh-CN"/>
        </w:rPr>
      </w:pPr>
      <w:r>
        <w:rPr>
          <w:rFonts w:hint="eastAsia"/>
          <w:highlight w:val="none"/>
          <w:lang w:val="en-US" w:eastAsia="zh-CN"/>
        </w:rPr>
        <w:t xml:space="preserve">  </w:t>
      </w:r>
    </w:p>
    <w:p w14:paraId="13DAFDCE">
      <w:pPr>
        <w:spacing w:line="460" w:lineRule="exact"/>
        <w:rPr>
          <w:highlight w:val="none"/>
        </w:rPr>
      </w:pPr>
      <w:r>
        <w:rPr>
          <w:rFonts w:hint="eastAsia"/>
          <w:b/>
          <w:highlight w:val="none"/>
        </w:rPr>
        <w:t>附注</w:t>
      </w:r>
      <w:r>
        <w:rPr>
          <w:rFonts w:hint="eastAsia"/>
          <w:highlight w:val="none"/>
        </w:rPr>
        <w:t>：</w:t>
      </w:r>
    </w:p>
    <w:p w14:paraId="082F322F">
      <w:pPr>
        <w:spacing w:line="460" w:lineRule="exact"/>
        <w:ind w:left="283" w:leftChars="135" w:firstLine="424" w:firstLineChars="202"/>
        <w:rPr>
          <w:rFonts w:hint="eastAsia"/>
          <w:highlight w:val="none"/>
        </w:rPr>
      </w:pPr>
      <w:r>
        <w:rPr>
          <w:rFonts w:hint="eastAsia"/>
          <w:highlight w:val="none"/>
        </w:rPr>
        <w:t>1、对于接入</w:t>
      </w:r>
      <w:r>
        <w:rPr>
          <w:rFonts w:hint="eastAsia"/>
          <w:highlight w:val="none"/>
          <w:lang w:eastAsia="zh-CN"/>
        </w:rPr>
        <w:t>市政府大院内及中山市政务服务中心</w:t>
      </w:r>
      <w:r>
        <w:rPr>
          <w:rFonts w:hint="eastAsia"/>
          <w:highlight w:val="none"/>
        </w:rPr>
        <w:t>的已纳入</w:t>
      </w:r>
      <w:r>
        <w:rPr>
          <w:rFonts w:hint="eastAsia"/>
          <w:highlight w:val="none"/>
          <w:lang w:eastAsia="zh-CN"/>
        </w:rPr>
        <w:t>其他</w:t>
      </w:r>
      <w:r>
        <w:rPr>
          <w:rFonts w:hint="eastAsia"/>
          <w:highlight w:val="none"/>
        </w:rPr>
        <w:t>项目范围的设备（例如高端交换路由设备等），成交供应商均有责任协助进行故障排查。</w:t>
      </w:r>
    </w:p>
    <w:p w14:paraId="07DFBB5E">
      <w:pPr>
        <w:spacing w:line="460" w:lineRule="exact"/>
        <w:ind w:left="283" w:leftChars="135" w:firstLine="424" w:firstLineChars="202"/>
        <w:rPr>
          <w:highlight w:val="none"/>
        </w:rPr>
      </w:pPr>
      <w:r>
        <w:rPr>
          <w:rFonts w:hint="eastAsia"/>
          <w:highlight w:val="none"/>
        </w:rPr>
        <w:t>2、涉及本项目运维所需超五类以上、</w:t>
      </w:r>
      <w:r>
        <w:rPr>
          <w:rFonts w:hint="eastAsia"/>
          <w:highlight w:val="none"/>
          <w:lang w:eastAsia="zh"/>
          <w:woUserID w:val="1"/>
        </w:rPr>
        <w:t>单条</w:t>
      </w:r>
      <w:r>
        <w:rPr>
          <w:rFonts w:hint="eastAsia"/>
          <w:highlight w:val="none"/>
        </w:rPr>
        <w:t>长度为10米以下的网线，由成交供应商提供。</w:t>
      </w:r>
    </w:p>
    <w:p w14:paraId="342A8773">
      <w:pPr>
        <w:widowControl/>
        <w:numPr>
          <w:ilvl w:val="0"/>
          <w:numId w:val="1"/>
        </w:numPr>
        <w:spacing w:line="460" w:lineRule="exact"/>
        <w:ind w:hanging="862"/>
        <w:jc w:val="left"/>
        <w:rPr>
          <w:b/>
          <w:sz w:val="24"/>
          <w:highlight w:val="none"/>
        </w:rPr>
      </w:pPr>
      <w:r>
        <w:rPr>
          <w:rFonts w:hint="eastAsia"/>
          <w:b/>
          <w:sz w:val="24"/>
          <w:highlight w:val="none"/>
        </w:rPr>
        <w:t>运维要求</w:t>
      </w:r>
    </w:p>
    <w:p w14:paraId="4FCB1DEB">
      <w:pPr>
        <w:spacing w:line="460" w:lineRule="exact"/>
        <w:ind w:left="283" w:leftChars="135" w:firstLine="424" w:firstLineChars="202"/>
        <w:rPr>
          <w:highlight w:val="none"/>
        </w:rPr>
      </w:pPr>
      <w:r>
        <w:rPr>
          <w:rFonts w:hint="eastAsia"/>
          <w:highlight w:val="none"/>
        </w:rPr>
        <w:t>运维服务的内容主要有三个方面，一是</w:t>
      </w:r>
      <w:r>
        <w:rPr>
          <w:rFonts w:hint="eastAsia"/>
          <w:highlight w:val="none"/>
          <w:lang w:eastAsia="zh-CN"/>
        </w:rPr>
        <w:t>市政府大院内及中山市政务服务中心</w:t>
      </w:r>
      <w:r>
        <w:rPr>
          <w:rFonts w:hint="eastAsia"/>
          <w:highlight w:val="none"/>
        </w:rPr>
        <w:t>网络及硬件设备的安装和维护；二是</w:t>
      </w:r>
      <w:r>
        <w:rPr>
          <w:rFonts w:hint="eastAsia"/>
          <w:highlight w:val="none"/>
          <w:lang w:eastAsia="zh-CN"/>
        </w:rPr>
        <w:t>市政府大院</w:t>
      </w:r>
      <w:r>
        <w:rPr>
          <w:rFonts w:hint="eastAsia"/>
          <w:bCs/>
          <w:highlight w:val="none"/>
        </w:rPr>
        <w:t>内及中山市政务服务中心相关软件</w:t>
      </w:r>
      <w:r>
        <w:rPr>
          <w:rFonts w:hint="eastAsia"/>
          <w:highlight w:val="none"/>
        </w:rPr>
        <w:t>的安装维护和升级；三是维护文档整理和提供各项技术支持和培训；实施维护任务的所有费用已包含在运维服务总价中。具体要求如下：</w:t>
      </w:r>
    </w:p>
    <w:p w14:paraId="402DE87A">
      <w:pPr>
        <w:widowControl/>
        <w:numPr>
          <w:ilvl w:val="1"/>
          <w:numId w:val="1"/>
        </w:numPr>
        <w:tabs>
          <w:tab w:val="left" w:pos="709"/>
        </w:tabs>
        <w:spacing w:line="460" w:lineRule="exact"/>
        <w:ind w:left="709" w:hanging="425"/>
        <w:jc w:val="left"/>
        <w:rPr>
          <w:b/>
          <w:bCs/>
          <w:highlight w:val="none"/>
        </w:rPr>
      </w:pPr>
      <w:r>
        <w:rPr>
          <w:rFonts w:hint="eastAsia"/>
          <w:b/>
          <w:bCs/>
          <w:highlight w:val="none"/>
        </w:rPr>
        <w:t>网络及硬件设备运维要求</w:t>
      </w:r>
    </w:p>
    <w:p w14:paraId="7BD681C9">
      <w:pPr>
        <w:spacing w:line="460" w:lineRule="exact"/>
        <w:ind w:left="283" w:leftChars="135" w:firstLine="424" w:firstLineChars="202"/>
        <w:rPr>
          <w:highlight w:val="none"/>
        </w:rPr>
      </w:pPr>
      <w:r>
        <w:rPr>
          <w:rFonts w:hint="eastAsia"/>
          <w:highlight w:val="none"/>
        </w:rPr>
        <w:t>主要工作内容包括</w:t>
      </w:r>
      <w:r>
        <w:rPr>
          <w:rFonts w:hint="eastAsia"/>
          <w:highlight w:val="none"/>
          <w:lang w:eastAsia="zh-CN"/>
        </w:rPr>
        <w:t>市政府大院内</w:t>
      </w:r>
      <w:r>
        <w:rPr>
          <w:rFonts w:hint="eastAsia"/>
          <w:highlight w:val="none"/>
        </w:rPr>
        <w:t>及中山市政务服务中心的网络和硬件设备的安装、调试、故障排除</w:t>
      </w:r>
      <w:r>
        <w:rPr>
          <w:rFonts w:hint="eastAsia"/>
          <w:highlight w:val="none"/>
          <w:lang w:eastAsia="zh-CN"/>
        </w:rPr>
        <w:t>，各网络设备间的巡检，</w:t>
      </w:r>
      <w:r>
        <w:rPr>
          <w:rFonts w:hint="eastAsia"/>
          <w:highlight w:val="none"/>
        </w:rPr>
        <w:t>具体如下</w:t>
      </w:r>
      <w:r>
        <w:rPr>
          <w:rFonts w:hint="eastAsia"/>
          <w:highlight w:val="none"/>
          <w:lang w:eastAsia="zh-CN"/>
        </w:rPr>
        <w:t>：</w:t>
      </w:r>
    </w:p>
    <w:p w14:paraId="22E8A34F">
      <w:pPr>
        <w:spacing w:line="460" w:lineRule="exact"/>
        <w:ind w:left="283" w:leftChars="135" w:firstLine="424" w:firstLineChars="202"/>
        <w:rPr>
          <w:highlight w:val="none"/>
        </w:rPr>
      </w:pPr>
      <w:r>
        <w:rPr>
          <w:rFonts w:hint="eastAsia"/>
          <w:highlight w:val="none"/>
        </w:rPr>
        <w:t>（</w:t>
      </w:r>
      <w:r>
        <w:rPr>
          <w:rFonts w:hint="eastAsia"/>
          <w:highlight w:val="none"/>
          <w:lang w:val="en-US" w:eastAsia="zh-CN"/>
        </w:rPr>
        <w:t>1</w:t>
      </w:r>
      <w:r>
        <w:rPr>
          <w:rFonts w:hint="eastAsia"/>
          <w:highlight w:val="none"/>
        </w:rPr>
        <w:t>）市委、市政府（含“二办”）和人大、政协机关大院内及中山市政务服务中心各网络设备间的网络设备设施及其配套设施的检测与维护、故障排查、信息点接入、性能优化综合布线系统的日常维护（含信息点接入迁移）。</w:t>
      </w:r>
    </w:p>
    <w:p w14:paraId="42CE894E">
      <w:pPr>
        <w:spacing w:line="460" w:lineRule="exact"/>
        <w:ind w:left="283" w:leftChars="135" w:firstLine="424" w:firstLineChars="202"/>
        <w:rPr>
          <w:highlight w:val="none"/>
        </w:rPr>
      </w:pPr>
      <w:r>
        <w:rPr>
          <w:rFonts w:hint="eastAsia"/>
          <w:highlight w:val="none"/>
        </w:rPr>
        <w:t>（</w:t>
      </w:r>
      <w:r>
        <w:rPr>
          <w:rFonts w:hint="eastAsia"/>
          <w:highlight w:val="none"/>
          <w:lang w:val="en-US" w:eastAsia="zh-CN"/>
        </w:rPr>
        <w:t>2</w:t>
      </w:r>
      <w:r>
        <w:rPr>
          <w:rFonts w:hint="eastAsia"/>
          <w:highlight w:val="none"/>
        </w:rPr>
        <w:t>）各单位接入</w:t>
      </w:r>
      <w:r>
        <w:rPr>
          <w:rFonts w:hint="eastAsia"/>
          <w:highlight w:val="none"/>
          <w:lang w:eastAsia="zh-CN"/>
        </w:rPr>
        <w:t>市政府大院内</w:t>
      </w:r>
      <w:r>
        <w:rPr>
          <w:rFonts w:hint="eastAsia"/>
          <w:highlight w:val="none"/>
        </w:rPr>
        <w:t>及中山市政务服务中心网络的相关设备的故障排查等工作。</w:t>
      </w:r>
    </w:p>
    <w:p w14:paraId="0D0A5C64">
      <w:pPr>
        <w:spacing w:line="460" w:lineRule="exact"/>
        <w:ind w:left="283" w:leftChars="135" w:firstLine="424" w:firstLineChars="202"/>
        <w:rPr>
          <w:rFonts w:hint="eastAsia"/>
          <w:highlight w:val="none"/>
        </w:rPr>
      </w:pPr>
      <w:r>
        <w:rPr>
          <w:rFonts w:hint="eastAsia"/>
          <w:highlight w:val="none"/>
        </w:rPr>
        <w:t>（</w:t>
      </w:r>
      <w:r>
        <w:rPr>
          <w:rFonts w:hint="eastAsia"/>
          <w:highlight w:val="none"/>
          <w:lang w:val="en-US" w:eastAsia="zh-CN"/>
        </w:rPr>
        <w:t>3</w:t>
      </w:r>
      <w:r>
        <w:rPr>
          <w:rFonts w:hint="eastAsia"/>
          <w:highlight w:val="none"/>
        </w:rPr>
        <w:t>）安排采购人认可的专业人员对大院内共31个网络设备间（其中市委4个、市政府一办5个、市政府二办14个、人大3个、政协5个）的网络设备进行清洁卫生和设备除尘（每月一次），操作期间成交供应商必须有相关技术人员现场监督，并做好保密工作。</w:t>
      </w:r>
    </w:p>
    <w:p w14:paraId="0587107C">
      <w:pPr>
        <w:spacing w:line="460" w:lineRule="exact"/>
        <w:ind w:left="283" w:leftChars="135" w:firstLine="424" w:firstLineChars="202"/>
        <w:rPr>
          <w:rFonts w:hint="eastAsia"/>
          <w:highlight w:val="none"/>
          <w:lang w:val="en-US" w:eastAsia="zh-CN"/>
        </w:rPr>
      </w:pPr>
      <w:r>
        <w:rPr>
          <w:rFonts w:hint="eastAsia"/>
          <w:highlight w:val="none"/>
          <w:lang w:eastAsia="zh-CN"/>
        </w:rPr>
        <w:t>（</w:t>
      </w:r>
      <w:r>
        <w:rPr>
          <w:rFonts w:hint="eastAsia"/>
          <w:highlight w:val="none"/>
          <w:lang w:val="en-US" w:eastAsia="zh-CN"/>
        </w:rPr>
        <w:t>4</w:t>
      </w:r>
      <w:r>
        <w:rPr>
          <w:rFonts w:hint="eastAsia"/>
          <w:highlight w:val="none"/>
          <w:lang w:eastAsia="zh-CN"/>
        </w:rPr>
        <w:t>）每月完成</w:t>
      </w:r>
      <w:r>
        <w:rPr>
          <w:rFonts w:hint="eastAsia"/>
          <w:highlight w:val="none"/>
          <w:lang w:val="en-US" w:eastAsia="zh-CN"/>
        </w:rPr>
        <w:t>31个网络设备间的</w:t>
      </w:r>
      <w:r>
        <w:rPr>
          <w:rFonts w:hint="eastAsia"/>
          <w:highlight w:val="none"/>
          <w:lang w:eastAsia="zh-CN"/>
        </w:rPr>
        <w:t>巡检</w:t>
      </w:r>
      <w:r>
        <w:rPr>
          <w:rFonts w:hint="eastAsia"/>
          <w:highlight w:val="none"/>
          <w:lang w:eastAsia="zh"/>
          <w:woUserID w:val="1"/>
        </w:rPr>
        <w:t>不少于</w:t>
      </w:r>
      <w:r>
        <w:rPr>
          <w:rFonts w:hint="eastAsia"/>
          <w:highlight w:val="none"/>
          <w:lang w:val="en-US" w:eastAsia="zh-CN"/>
        </w:rPr>
        <w:t>1次。</w:t>
      </w:r>
    </w:p>
    <w:p w14:paraId="17663FE2">
      <w:pPr>
        <w:spacing w:line="460" w:lineRule="exact"/>
        <w:ind w:left="283" w:leftChars="135" w:firstLine="424" w:firstLineChars="202"/>
        <w:rPr>
          <w:rFonts w:hint="eastAsia" w:eastAsia="宋体"/>
          <w:highlight w:val="none"/>
          <w:lang w:val="en-US" w:eastAsia="zh-CN"/>
        </w:rPr>
      </w:pPr>
      <w:r>
        <w:rPr>
          <w:rFonts w:hint="eastAsia"/>
          <w:highlight w:val="none"/>
          <w:lang w:val="en-US" w:eastAsia="zh-CN"/>
        </w:rPr>
        <w:t>（5）</w:t>
      </w:r>
      <w:r>
        <w:rPr>
          <w:rFonts w:hint="eastAsia"/>
          <w:highlight w:val="none"/>
        </w:rPr>
        <w:t>成交供应商须在每月、每季度结束后的3个工作日内提交上一月、上一季度的月报和季度报告。相关报告应简洁清晰、重点突出</w:t>
      </w:r>
      <w:r>
        <w:rPr>
          <w:rFonts w:hint="eastAsia"/>
          <w:highlight w:val="none"/>
          <w:lang w:eastAsia="zh-CN"/>
        </w:rPr>
        <w:t>、规</w:t>
      </w:r>
      <w:r>
        <w:rPr>
          <w:rFonts w:hint="eastAsia"/>
          <w:sz w:val="21"/>
          <w:highlight w:val="none"/>
          <w:lang w:eastAsia="zh-CN"/>
        </w:rPr>
        <w:t>范完整</w:t>
      </w:r>
      <w:r>
        <w:rPr>
          <w:rFonts w:hint="eastAsia"/>
          <w:highlight w:val="none"/>
          <w:lang w:eastAsia="zh-CN"/>
        </w:rPr>
        <w:t>。</w:t>
      </w:r>
    </w:p>
    <w:p w14:paraId="1CFAA6C4">
      <w:pPr>
        <w:widowControl/>
        <w:numPr>
          <w:ilvl w:val="1"/>
          <w:numId w:val="1"/>
        </w:numPr>
        <w:tabs>
          <w:tab w:val="left" w:pos="709"/>
        </w:tabs>
        <w:spacing w:line="460" w:lineRule="exact"/>
        <w:ind w:left="709" w:hanging="425"/>
        <w:jc w:val="left"/>
        <w:rPr>
          <w:b/>
          <w:bCs/>
          <w:highlight w:val="none"/>
        </w:rPr>
      </w:pPr>
      <w:r>
        <w:rPr>
          <w:rFonts w:hint="eastAsia"/>
          <w:b/>
          <w:bCs/>
          <w:highlight w:val="none"/>
          <w:lang w:eastAsia="zh-CN"/>
        </w:rPr>
        <w:t>市政府大院内</w:t>
      </w:r>
      <w:r>
        <w:rPr>
          <w:rFonts w:hint="eastAsia"/>
          <w:b/>
          <w:bCs/>
          <w:highlight w:val="none"/>
        </w:rPr>
        <w:t>及中山市政务服务中心网络的相关软件运维要求</w:t>
      </w:r>
    </w:p>
    <w:p w14:paraId="2E967947">
      <w:pPr>
        <w:spacing w:line="460" w:lineRule="exact"/>
        <w:ind w:left="283" w:leftChars="135" w:firstLine="424" w:firstLineChars="202"/>
        <w:rPr>
          <w:highlight w:val="none"/>
        </w:rPr>
      </w:pPr>
      <w:r>
        <w:rPr>
          <w:rFonts w:hint="eastAsia"/>
          <w:highlight w:val="none"/>
        </w:rPr>
        <w:t>（1）</w:t>
      </w:r>
      <w:r>
        <w:rPr>
          <w:rFonts w:hint="eastAsia"/>
          <w:highlight w:val="none"/>
          <w:lang w:eastAsia="zh-CN"/>
        </w:rPr>
        <w:t>市政府大院内</w:t>
      </w:r>
      <w:r>
        <w:rPr>
          <w:rFonts w:hint="eastAsia"/>
          <w:highlight w:val="none"/>
        </w:rPr>
        <w:t>及中山市政务服务中心接入设备软件故障排查</w:t>
      </w:r>
      <w:r>
        <w:rPr>
          <w:rFonts w:hint="eastAsia"/>
          <w:highlight w:val="none"/>
          <w:lang w:eastAsia="zh-CN"/>
        </w:rPr>
        <w:t>及协助处置，</w:t>
      </w:r>
      <w:r>
        <w:rPr>
          <w:rFonts w:hint="eastAsia"/>
          <w:highlight w:val="none"/>
          <w:lang w:eastAsia="zh"/>
          <w:woUserID w:val="1"/>
        </w:rPr>
        <w:t>原则上2</w:t>
      </w:r>
      <w:r>
        <w:rPr>
          <w:rFonts w:hint="eastAsia"/>
          <w:highlight w:val="none"/>
          <w:lang w:eastAsia="zh-CN"/>
        </w:rPr>
        <w:t>个工作日内完成</w:t>
      </w:r>
      <w:r>
        <w:rPr>
          <w:rFonts w:hint="eastAsia"/>
          <w:highlight w:val="none"/>
        </w:rPr>
        <w:t>。</w:t>
      </w:r>
    </w:p>
    <w:p w14:paraId="63887035">
      <w:pPr>
        <w:spacing w:line="460" w:lineRule="exact"/>
        <w:ind w:left="283" w:leftChars="135" w:firstLine="424" w:firstLineChars="202"/>
        <w:rPr>
          <w:highlight w:val="none"/>
        </w:rPr>
      </w:pPr>
      <w:r>
        <w:rPr>
          <w:rFonts w:hint="eastAsia"/>
          <w:highlight w:val="none"/>
        </w:rPr>
        <w:t>（2）协助</w:t>
      </w:r>
      <w:r>
        <w:rPr>
          <w:rFonts w:hint="eastAsia"/>
          <w:highlight w:val="none"/>
          <w:lang w:eastAsia="zh-CN"/>
        </w:rPr>
        <w:t>保障市政府大院内</w:t>
      </w:r>
      <w:r>
        <w:rPr>
          <w:rFonts w:hint="eastAsia"/>
          <w:highlight w:val="none"/>
        </w:rPr>
        <w:t>及中山市政务服务中心运行的</w:t>
      </w:r>
      <w:r>
        <w:rPr>
          <w:rFonts w:hint="eastAsia"/>
          <w:highlight w:val="none"/>
          <w:lang w:eastAsia="zh-CN"/>
        </w:rPr>
        <w:t>其他</w:t>
      </w:r>
      <w:r>
        <w:rPr>
          <w:rFonts w:hint="eastAsia"/>
          <w:highlight w:val="none"/>
        </w:rPr>
        <w:t>应用软件系统的正常运行。</w:t>
      </w:r>
    </w:p>
    <w:p w14:paraId="7D77ECF9">
      <w:pPr>
        <w:spacing w:line="460" w:lineRule="exact"/>
        <w:ind w:left="283" w:leftChars="135" w:firstLine="424" w:firstLineChars="202"/>
        <w:rPr>
          <w:highlight w:val="none"/>
        </w:rPr>
      </w:pPr>
      <w:r>
        <w:rPr>
          <w:rFonts w:hint="eastAsia"/>
          <w:highlight w:val="none"/>
        </w:rPr>
        <w:t>（3）正版系统软件和正版应用软件的定期升级</w:t>
      </w:r>
      <w:r>
        <w:rPr>
          <w:rFonts w:hint="eastAsia"/>
          <w:highlight w:val="none"/>
          <w:lang w:eastAsia="zh-CN"/>
        </w:rPr>
        <w:t>，接到安全运维中心提醒后</w:t>
      </w:r>
      <w:r>
        <w:rPr>
          <w:rFonts w:hint="eastAsia"/>
          <w:highlight w:val="none"/>
          <w:lang w:val="en-US" w:eastAsia="zh-CN"/>
        </w:rPr>
        <w:t>5</w:t>
      </w:r>
      <w:r>
        <w:rPr>
          <w:rFonts w:hint="eastAsia"/>
          <w:highlight w:val="none"/>
          <w:lang w:eastAsia="zh-CN"/>
        </w:rPr>
        <w:t>个工作日内完成打补</w:t>
      </w:r>
      <w:r>
        <w:rPr>
          <w:rFonts w:hint="eastAsia"/>
          <w:highlight w:val="none"/>
        </w:rPr>
        <w:t>丁</w:t>
      </w:r>
      <w:r>
        <w:rPr>
          <w:rFonts w:hint="eastAsia"/>
          <w:highlight w:val="none"/>
          <w:lang w:eastAsia="zh-CN"/>
        </w:rPr>
        <w:t>修复漏洞</w:t>
      </w:r>
      <w:r>
        <w:rPr>
          <w:rFonts w:hint="eastAsia"/>
          <w:highlight w:val="none"/>
        </w:rPr>
        <w:t>。</w:t>
      </w:r>
    </w:p>
    <w:p w14:paraId="69F91A56">
      <w:pPr>
        <w:spacing w:line="460" w:lineRule="exact"/>
        <w:ind w:left="283" w:leftChars="135" w:firstLine="424" w:firstLineChars="202"/>
        <w:rPr>
          <w:rFonts w:hint="eastAsia" w:ascii="宋体" w:hAnsi="宋体" w:cs="宋体"/>
          <w:highlight w:val="none"/>
        </w:rPr>
      </w:pPr>
      <w:r>
        <w:rPr>
          <w:rFonts w:hint="eastAsia"/>
          <w:highlight w:val="none"/>
        </w:rPr>
        <w:t>（4）</w:t>
      </w:r>
      <w:r>
        <w:rPr>
          <w:rFonts w:hint="eastAsia" w:ascii="宋体" w:hAnsi="宋体" w:cs="宋体"/>
          <w:highlight w:val="none"/>
        </w:rPr>
        <w:t>每季度至少</w:t>
      </w:r>
      <w:r>
        <w:rPr>
          <w:rFonts w:hint="eastAsia"/>
          <w:highlight w:val="none"/>
        </w:rPr>
        <w:t>到各接入单位进行</w:t>
      </w:r>
      <w:r>
        <w:rPr>
          <w:rFonts w:hint="eastAsia" w:ascii="宋体" w:hAnsi="宋体" w:cs="宋体"/>
          <w:highlight w:val="none"/>
        </w:rPr>
        <w:t>1次现场检测维护和技术辅导</w:t>
      </w:r>
      <w:r>
        <w:rPr>
          <w:rFonts w:hint="eastAsia"/>
          <w:highlight w:val="none"/>
        </w:rPr>
        <w:t>，指导和协助用户查杀计算机病毒和及时更新防病毒软件。</w:t>
      </w:r>
    </w:p>
    <w:p w14:paraId="37EDF135">
      <w:pPr>
        <w:widowControl/>
        <w:numPr>
          <w:ilvl w:val="1"/>
          <w:numId w:val="1"/>
        </w:numPr>
        <w:tabs>
          <w:tab w:val="left" w:pos="709"/>
        </w:tabs>
        <w:spacing w:line="460" w:lineRule="exact"/>
        <w:ind w:left="709" w:hanging="425"/>
        <w:jc w:val="left"/>
        <w:rPr>
          <w:b/>
          <w:bCs/>
          <w:highlight w:val="none"/>
        </w:rPr>
      </w:pPr>
      <w:r>
        <w:rPr>
          <w:rFonts w:hint="eastAsia"/>
          <w:b/>
          <w:bCs/>
          <w:highlight w:val="none"/>
        </w:rPr>
        <w:t>技术培训</w:t>
      </w:r>
    </w:p>
    <w:p w14:paraId="7E3BC249">
      <w:pPr>
        <w:spacing w:line="460" w:lineRule="exact"/>
        <w:ind w:left="283" w:leftChars="135" w:firstLine="424" w:firstLineChars="202"/>
        <w:rPr>
          <w:highlight w:val="none"/>
        </w:rPr>
      </w:pPr>
      <w:r>
        <w:rPr>
          <w:rFonts w:hint="eastAsia"/>
          <w:highlight w:val="none"/>
        </w:rPr>
        <w:t>为保障中山市市政府大院内及中山市政务服务中心低端信息化设备安全</w:t>
      </w:r>
      <w:r>
        <w:rPr>
          <w:rFonts w:hint="eastAsia"/>
          <w:highlight w:val="none"/>
          <w:lang w:eastAsia="zh-CN"/>
        </w:rPr>
        <w:t>稳定</w:t>
      </w:r>
      <w:r>
        <w:rPr>
          <w:rFonts w:hint="eastAsia"/>
          <w:highlight w:val="none"/>
        </w:rPr>
        <w:t>运行，成交供应商须对各用户进行长期的、多种形式的技术辅导和培训，让用户对</w:t>
      </w:r>
      <w:r>
        <w:rPr>
          <w:rFonts w:hint="eastAsia"/>
          <w:highlight w:val="none"/>
          <w:lang w:eastAsia="zh-CN"/>
        </w:rPr>
        <w:t>市政府大院内</w:t>
      </w:r>
      <w:r>
        <w:rPr>
          <w:rFonts w:hint="eastAsia"/>
          <w:highlight w:val="none"/>
        </w:rPr>
        <w:t>及中山市政务服务中心网</w:t>
      </w:r>
      <w:r>
        <w:rPr>
          <w:rFonts w:hint="eastAsia"/>
          <w:highlight w:val="none"/>
          <w:lang w:eastAsia="zh-CN"/>
        </w:rPr>
        <w:t>络</w:t>
      </w:r>
      <w:r>
        <w:rPr>
          <w:rFonts w:hint="eastAsia"/>
          <w:highlight w:val="none"/>
        </w:rPr>
        <w:t>有一个较为全面的了解和认识，做到可以简单维护、熟练操作，通过培训促进应用，为中山市政务信息化建设发展打好基础。</w:t>
      </w:r>
    </w:p>
    <w:p w14:paraId="191CE26D">
      <w:pPr>
        <w:widowControl/>
        <w:numPr>
          <w:ilvl w:val="1"/>
          <w:numId w:val="1"/>
        </w:numPr>
        <w:tabs>
          <w:tab w:val="left" w:pos="709"/>
        </w:tabs>
        <w:spacing w:line="460" w:lineRule="exact"/>
        <w:ind w:left="709" w:hanging="425"/>
        <w:jc w:val="left"/>
        <w:rPr>
          <w:b/>
          <w:bCs/>
          <w:highlight w:val="none"/>
        </w:rPr>
      </w:pPr>
      <w:r>
        <w:rPr>
          <w:rFonts w:hint="eastAsia"/>
          <w:b/>
          <w:bCs/>
          <w:highlight w:val="none"/>
        </w:rPr>
        <w:t>其它任务</w:t>
      </w:r>
    </w:p>
    <w:p w14:paraId="2674A7C5">
      <w:pPr>
        <w:spacing w:line="460" w:lineRule="exact"/>
        <w:ind w:left="283" w:leftChars="135" w:firstLine="424" w:firstLineChars="202"/>
        <w:rPr>
          <w:highlight w:val="none"/>
        </w:rPr>
      </w:pPr>
      <w:r>
        <w:rPr>
          <w:rFonts w:hint="eastAsia"/>
          <w:highlight w:val="none"/>
        </w:rPr>
        <w:t>（1）规范整理和更新所有与维护有关的网络、客户端等的详细文档资料，特别是网络设备配置和客户端的网络配置、</w:t>
      </w:r>
      <w:r>
        <w:rPr>
          <w:highlight w:val="none"/>
        </w:rPr>
        <w:t>IP</w:t>
      </w:r>
      <w:r>
        <w:rPr>
          <w:rFonts w:hint="eastAsia"/>
          <w:highlight w:val="none"/>
        </w:rPr>
        <w:t>地址分配、综合布线等的相关文档资料，按采购人的要求提交。</w:t>
      </w:r>
    </w:p>
    <w:p w14:paraId="59E5003A">
      <w:pPr>
        <w:spacing w:line="460" w:lineRule="exact"/>
        <w:ind w:left="283" w:leftChars="135" w:firstLine="424" w:firstLineChars="202"/>
        <w:rPr>
          <w:rFonts w:hint="eastAsia"/>
          <w:highlight w:val="none"/>
        </w:rPr>
      </w:pPr>
      <w:r>
        <w:rPr>
          <w:rFonts w:hint="eastAsia"/>
          <w:highlight w:val="none"/>
        </w:rPr>
        <w:t>（2）工作日、非工作日和节假日期间，按照采购人的要求，协助各政府部门交办的其他工作和其他信息化项目的实施，涉及的加班费由成交供应商承担。</w:t>
      </w:r>
    </w:p>
    <w:p w14:paraId="5A19A2C4">
      <w:pPr>
        <w:spacing w:line="460" w:lineRule="exact"/>
        <w:ind w:left="283" w:leftChars="135" w:firstLine="424" w:firstLineChars="202"/>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 xml:space="preserve"> 保密义务：保证保密内容的使用仅限中山市</w:t>
      </w:r>
      <w:r>
        <w:rPr>
          <w:rFonts w:hint="eastAsia"/>
          <w:highlight w:val="none"/>
          <w:lang w:eastAsia="zh-CN"/>
        </w:rPr>
        <w:t>市政府</w:t>
      </w:r>
      <w:r>
        <w:rPr>
          <w:rFonts w:hint="eastAsia"/>
          <w:highlight w:val="none"/>
        </w:rPr>
        <w:t>大院内及中山市政务服务中心低端信息化设备维护服务项目，未经书面同意，不得直接或间接地透露或提供给任何第三方（包括按照保密制度的规定不得知悉该项内容的其他员工），或将其使用在</w:t>
      </w:r>
      <w:r>
        <w:rPr>
          <w:rFonts w:hint="eastAsia"/>
          <w:highlight w:val="none"/>
          <w:lang w:eastAsia="zh-CN"/>
        </w:rPr>
        <w:t>其他</w:t>
      </w:r>
      <w:r>
        <w:rPr>
          <w:rFonts w:hint="eastAsia"/>
          <w:highlight w:val="none"/>
        </w:rPr>
        <w:t>项目中，也不得在履行合同之外以任何方式使用或传播保密内容</w:t>
      </w:r>
      <w:r>
        <w:rPr>
          <w:rFonts w:hint="eastAsia"/>
          <w:highlight w:val="none"/>
          <w:lang w:val="en-US" w:eastAsia="zh-CN"/>
        </w:rPr>
        <w:t>；</w:t>
      </w:r>
      <w:r>
        <w:rPr>
          <w:rFonts w:hint="eastAsia"/>
          <w:highlight w:val="none"/>
        </w:rPr>
        <w:t>保证对保密内容予以保密，</w:t>
      </w:r>
      <w:r>
        <w:rPr>
          <w:rFonts w:hint="eastAsia"/>
          <w:highlight w:val="none"/>
          <w:lang w:eastAsia="zh-CN"/>
        </w:rPr>
        <w:t>在</w:t>
      </w:r>
      <w:r>
        <w:rPr>
          <w:rFonts w:hint="eastAsia"/>
          <w:highlight w:val="none"/>
        </w:rPr>
        <w:t>维护</w:t>
      </w:r>
      <w:r>
        <w:rPr>
          <w:rFonts w:hint="eastAsia"/>
          <w:highlight w:val="none"/>
          <w:lang w:eastAsia="zh-CN"/>
        </w:rPr>
        <w:t>过程中</w:t>
      </w:r>
      <w:r>
        <w:rPr>
          <w:rFonts w:hint="eastAsia"/>
          <w:highlight w:val="none"/>
        </w:rPr>
        <w:t>相关工作人员若泄露本项目相关技术资料的，承担所有法律与经济责任</w:t>
      </w:r>
      <w:r>
        <w:rPr>
          <w:rFonts w:hint="eastAsia"/>
          <w:highlight w:val="none"/>
          <w:lang w:eastAsia="zh-CN"/>
        </w:rPr>
        <w:t>；</w:t>
      </w:r>
      <w:r>
        <w:rPr>
          <w:rFonts w:hint="eastAsia"/>
          <w:highlight w:val="none"/>
        </w:rPr>
        <w:t>成交供应商保证对保密内容不进行与本项目无关的一切复制工作。</w:t>
      </w:r>
    </w:p>
    <w:p w14:paraId="3670C85E">
      <w:pPr>
        <w:spacing w:line="460" w:lineRule="exact"/>
        <w:ind w:left="283" w:leftChars="135" w:firstLine="424" w:firstLineChars="202"/>
        <w:rPr>
          <w:rFonts w:hint="default" w:eastAsia="宋体"/>
          <w:highlight w:val="none"/>
          <w:lang w:val="en-US" w:eastAsia="zh-CN"/>
        </w:rPr>
      </w:pPr>
      <w:r>
        <w:rPr>
          <w:rFonts w:hint="eastAsia"/>
          <w:highlight w:val="none"/>
          <w:lang w:eastAsia="zh-CN"/>
        </w:rPr>
        <w:t>（</w:t>
      </w:r>
      <w:r>
        <w:rPr>
          <w:rFonts w:hint="eastAsia"/>
          <w:highlight w:val="none"/>
          <w:lang w:val="en-US" w:eastAsia="zh-CN"/>
        </w:rPr>
        <w:t>4</w:t>
      </w:r>
      <w:r>
        <w:rPr>
          <w:rFonts w:hint="eastAsia"/>
          <w:highlight w:val="none"/>
          <w:lang w:eastAsia="zh-CN"/>
        </w:rPr>
        <w:t>）协助市政府大院内</w:t>
      </w:r>
      <w:r>
        <w:rPr>
          <w:rFonts w:hint="eastAsia"/>
          <w:highlight w:val="none"/>
        </w:rPr>
        <w:t>及中山市政务服务中心</w:t>
      </w:r>
      <w:r>
        <w:rPr>
          <w:rFonts w:hint="eastAsia"/>
          <w:highlight w:val="none"/>
          <w:lang w:eastAsia="zh-CN"/>
        </w:rPr>
        <w:t>各部门低端信息化设备资产梳理，收集设备</w:t>
      </w:r>
      <w:r>
        <w:rPr>
          <w:rFonts w:hint="eastAsia"/>
          <w:highlight w:val="none"/>
          <w:lang w:val="en-US" w:eastAsia="zh-CN"/>
        </w:rPr>
        <w:t>IP地址并形成台账。</w:t>
      </w:r>
    </w:p>
    <w:p w14:paraId="494E1299">
      <w:pPr>
        <w:widowControl/>
        <w:numPr>
          <w:ilvl w:val="1"/>
          <w:numId w:val="1"/>
        </w:numPr>
        <w:tabs>
          <w:tab w:val="left" w:pos="709"/>
        </w:tabs>
        <w:spacing w:line="460" w:lineRule="exact"/>
        <w:ind w:left="709" w:hanging="425"/>
        <w:jc w:val="left"/>
        <w:rPr>
          <w:b/>
          <w:bCs/>
          <w:highlight w:val="none"/>
        </w:rPr>
      </w:pPr>
      <w:r>
        <w:rPr>
          <w:rFonts w:hint="eastAsia"/>
          <w:b/>
          <w:bCs/>
          <w:highlight w:val="none"/>
        </w:rPr>
        <w:t>运维响应</w:t>
      </w:r>
    </w:p>
    <w:p w14:paraId="3C6D5FB7">
      <w:pPr>
        <w:spacing w:line="460" w:lineRule="exact"/>
        <w:ind w:left="283" w:leftChars="135" w:firstLine="424" w:firstLineChars="202"/>
        <w:rPr>
          <w:highlight w:val="none"/>
        </w:rPr>
      </w:pPr>
      <w:r>
        <w:rPr>
          <w:rFonts w:hint="eastAsia"/>
          <w:highlight w:val="none"/>
        </w:rPr>
        <w:t>成交供应商要求提供7*24小时电话技术支持，</w:t>
      </w:r>
      <w:r>
        <w:rPr>
          <w:rFonts w:hint="eastAsia"/>
          <w:highlight w:val="none"/>
          <w:lang w:eastAsia="zh-CN"/>
        </w:rPr>
        <w:t>按采购人要求，在</w:t>
      </w:r>
      <w:r>
        <w:rPr>
          <w:rFonts w:hint="eastAsia"/>
          <w:sz w:val="21"/>
          <w:highlight w:val="none"/>
          <w:lang w:eastAsia="zh-CN"/>
        </w:rPr>
        <w:t>特殊时间或重大节假日提供人员现场应急值守。</w:t>
      </w:r>
    </w:p>
    <w:p w14:paraId="61FB1583">
      <w:pPr>
        <w:spacing w:line="460" w:lineRule="exact"/>
        <w:ind w:left="283" w:leftChars="135" w:firstLine="424" w:firstLineChars="202"/>
        <w:rPr>
          <w:highlight w:val="none"/>
        </w:rPr>
      </w:pPr>
      <w:r>
        <w:rPr>
          <w:rFonts w:hint="eastAsia"/>
          <w:highlight w:val="none"/>
        </w:rPr>
        <w:t>成交供应商接到用户维护服务请求后，应告知用户拟定的维护措施和预计处理所需要的时间，若使用电话、电子邮件、传真等远程方式不能及时解决的，应及时安排维护人员到现场服务。</w:t>
      </w:r>
    </w:p>
    <w:p w14:paraId="6AFA3CFC">
      <w:pPr>
        <w:spacing w:line="460" w:lineRule="exact"/>
        <w:ind w:left="283" w:leftChars="135"/>
        <w:rPr>
          <w:b/>
          <w:highlight w:val="none"/>
        </w:rPr>
      </w:pPr>
      <w:r>
        <w:rPr>
          <w:rFonts w:hint="eastAsia"/>
          <w:b/>
          <w:highlight w:val="none"/>
        </w:rPr>
        <w:t>到达现场时间：</w:t>
      </w:r>
    </w:p>
    <w:p w14:paraId="1A3B558A">
      <w:pPr>
        <w:spacing w:line="460" w:lineRule="exact"/>
        <w:ind w:left="283" w:leftChars="135" w:firstLine="424" w:firstLineChars="202"/>
        <w:rPr>
          <w:highlight w:val="none"/>
        </w:rPr>
      </w:pPr>
      <w:r>
        <w:rPr>
          <w:rFonts w:hint="eastAsia"/>
          <w:highlight w:val="none"/>
        </w:rPr>
        <w:t>（1）工作日的办公时间期间：</w:t>
      </w:r>
    </w:p>
    <w:p w14:paraId="188F5C49">
      <w:pPr>
        <w:spacing w:line="460" w:lineRule="exact"/>
        <w:ind w:left="283" w:leftChars="135" w:firstLine="424" w:firstLineChars="202"/>
        <w:rPr>
          <w:highlight w:val="none"/>
        </w:rPr>
      </w:pPr>
      <w:r>
        <w:rPr>
          <w:rFonts w:hint="eastAsia"/>
          <w:highlight w:val="none"/>
        </w:rPr>
        <w:t>运维请求点位于市委、市政府（含“二办”）、人大、政协大院及中山市政务服务中心内，从接到请求电话到成交供应商工作人员抵达现场时间不超过0.5小时；</w:t>
      </w:r>
    </w:p>
    <w:p w14:paraId="5CDE597A">
      <w:pPr>
        <w:spacing w:line="460" w:lineRule="exact"/>
        <w:ind w:left="283" w:leftChars="135" w:firstLine="424" w:firstLineChars="202"/>
        <w:rPr>
          <w:highlight w:val="none"/>
        </w:rPr>
      </w:pPr>
      <w:r>
        <w:rPr>
          <w:rFonts w:hint="eastAsia"/>
          <w:highlight w:val="none"/>
        </w:rPr>
        <w:t>（2）工作日的非办公时间和节假日期间：</w:t>
      </w:r>
    </w:p>
    <w:p w14:paraId="30B4347B">
      <w:pPr>
        <w:spacing w:line="460" w:lineRule="exact"/>
        <w:ind w:left="283" w:leftChars="135" w:firstLine="424" w:firstLineChars="202"/>
        <w:rPr>
          <w:highlight w:val="none"/>
        </w:rPr>
      </w:pPr>
      <w:r>
        <w:rPr>
          <w:rFonts w:hint="eastAsia"/>
          <w:highlight w:val="none"/>
        </w:rPr>
        <w:t>运维请求点位于市委、市政府（含“二办”）、人大、政协大院及中山市政务服务中心内，从接到请求电话到成交供应商工作人员抵达现场时间不超过1小时；</w:t>
      </w:r>
    </w:p>
    <w:p w14:paraId="4B463DF7">
      <w:pPr>
        <w:spacing w:line="460" w:lineRule="exact"/>
        <w:ind w:left="283" w:leftChars="135" w:firstLine="424" w:firstLineChars="202"/>
        <w:rPr>
          <w:rFonts w:hint="eastAsia"/>
          <w:highlight w:val="none"/>
        </w:rPr>
      </w:pPr>
      <w:r>
        <w:rPr>
          <w:rFonts w:hint="eastAsia"/>
          <w:highlight w:val="none"/>
        </w:rPr>
        <w:t>（</w:t>
      </w:r>
      <w:r>
        <w:rPr>
          <w:highlight w:val="none"/>
        </w:rPr>
        <w:t>3</w:t>
      </w:r>
      <w:r>
        <w:rPr>
          <w:rFonts w:hint="eastAsia"/>
          <w:highlight w:val="none"/>
        </w:rPr>
        <w:t>）有特殊情况时，成交供应商应主动与用户协商解决。无法协商一致的，报采购人协调处理。</w:t>
      </w:r>
    </w:p>
    <w:p w14:paraId="473E96DF">
      <w:pPr>
        <w:spacing w:line="460" w:lineRule="exact"/>
        <w:ind w:left="0" w:leftChars="0" w:firstLine="211" w:firstLineChars="100"/>
        <w:rPr>
          <w:rFonts w:hint="eastAsia"/>
          <w:b/>
          <w:bCs/>
          <w:highlight w:val="none"/>
          <w:lang w:val="en-US" w:eastAsia="zh-CN"/>
        </w:rPr>
      </w:pPr>
      <w:r>
        <w:rPr>
          <w:rFonts w:hint="eastAsia"/>
          <w:b/>
          <w:bCs/>
          <w:highlight w:val="none"/>
          <w:lang w:val="en-US" w:eastAsia="zh-CN"/>
        </w:rPr>
        <w:t>事件处理时间要求：</w:t>
      </w:r>
    </w:p>
    <w:p w14:paraId="55817B06">
      <w:pPr>
        <w:numPr>
          <w:ilvl w:val="0"/>
          <w:numId w:val="3"/>
        </w:numPr>
        <w:spacing w:line="460" w:lineRule="exact"/>
        <w:ind w:left="0" w:leftChars="0" w:firstLine="630" w:firstLineChars="300"/>
        <w:rPr>
          <w:rFonts w:hint="eastAsia"/>
          <w:highlight w:val="none"/>
          <w:lang w:val="en-US" w:eastAsia="zh-CN"/>
        </w:rPr>
      </w:pPr>
      <w:r>
        <w:rPr>
          <w:rFonts w:hint="eastAsia"/>
          <w:highlight w:val="none"/>
          <w:lang w:val="en-US" w:eastAsia="zh-CN"/>
        </w:rPr>
        <w:t>项目内设备的软硬件故障排查及处理需一个工作日内完成。</w:t>
      </w:r>
    </w:p>
    <w:p w14:paraId="3141B058">
      <w:pPr>
        <w:numPr>
          <w:ilvl w:val="0"/>
          <w:numId w:val="3"/>
        </w:numPr>
        <w:spacing w:line="460" w:lineRule="exact"/>
        <w:ind w:left="0" w:leftChars="0" w:firstLine="630" w:firstLineChars="300"/>
        <w:rPr>
          <w:rFonts w:hint="eastAsia"/>
          <w:highlight w:val="none"/>
          <w:lang w:val="en-US" w:eastAsia="zh-CN"/>
        </w:rPr>
      </w:pPr>
      <w:r>
        <w:rPr>
          <w:rFonts w:hint="eastAsia"/>
          <w:highlight w:val="none"/>
          <w:lang w:val="en-US" w:eastAsia="zh-CN"/>
        </w:rPr>
        <w:t>配合市政大院内</w:t>
      </w:r>
      <w:r>
        <w:rPr>
          <w:rFonts w:hint="eastAsia"/>
          <w:highlight w:val="none"/>
        </w:rPr>
        <w:t>及中山市政务服务中心</w:t>
      </w:r>
      <w:r>
        <w:rPr>
          <w:rFonts w:hint="eastAsia"/>
          <w:highlight w:val="none"/>
          <w:lang w:val="en-US" w:eastAsia="zh-CN"/>
        </w:rPr>
        <w:t>各部门在相关文件规定时间内完成保密检查、软件正版化检查及其他应对国家省市的相关信息检查。</w:t>
      </w:r>
    </w:p>
    <w:p w14:paraId="6ED6F716">
      <w:pPr>
        <w:numPr>
          <w:ilvl w:val="0"/>
          <w:numId w:val="3"/>
        </w:numPr>
        <w:spacing w:line="460" w:lineRule="exact"/>
        <w:ind w:left="0" w:leftChars="0" w:firstLine="630" w:firstLineChars="300"/>
        <w:rPr>
          <w:rFonts w:hint="eastAsia"/>
          <w:highlight w:val="none"/>
          <w:lang w:val="en-US" w:eastAsia="zh-CN"/>
        </w:rPr>
      </w:pPr>
      <w:r>
        <w:rPr>
          <w:rFonts w:hint="eastAsia"/>
          <w:highlight w:val="none"/>
          <w:lang w:val="en-US" w:eastAsia="zh-CN"/>
        </w:rPr>
        <w:t>按部门要求时间完成因办公室装修、大规模人员轮岗、新增工作专班等出现的综合布线、终端设备迁移及调试等工作。</w:t>
      </w:r>
    </w:p>
    <w:p w14:paraId="57A7EE41">
      <w:pPr>
        <w:widowControl/>
        <w:numPr>
          <w:ilvl w:val="1"/>
          <w:numId w:val="1"/>
        </w:numPr>
        <w:tabs>
          <w:tab w:val="left" w:pos="709"/>
        </w:tabs>
        <w:spacing w:line="460" w:lineRule="exact"/>
        <w:ind w:left="709" w:hanging="425"/>
        <w:jc w:val="left"/>
        <w:rPr>
          <w:b/>
          <w:bCs/>
          <w:highlight w:val="none"/>
        </w:rPr>
      </w:pPr>
      <w:r>
        <w:rPr>
          <w:rFonts w:hint="eastAsia"/>
          <w:b/>
          <w:bCs/>
          <w:highlight w:val="none"/>
        </w:rPr>
        <w:t>协调服务</w:t>
      </w:r>
    </w:p>
    <w:p w14:paraId="51EB8AAC">
      <w:pPr>
        <w:spacing w:line="460" w:lineRule="exact"/>
        <w:ind w:left="283" w:leftChars="135" w:firstLine="424" w:firstLineChars="202"/>
        <w:rPr>
          <w:highlight w:val="none"/>
        </w:rPr>
      </w:pPr>
      <w:r>
        <w:rPr>
          <w:rFonts w:hint="eastAsia"/>
          <w:highlight w:val="none"/>
        </w:rPr>
        <w:t>（1）成交供应商接到用户服务请求后，首先由成交供应商提供运维服务，经检查不属于运维范围内的，报采购人协调处理；</w:t>
      </w:r>
    </w:p>
    <w:p w14:paraId="050066BF">
      <w:pPr>
        <w:spacing w:line="460" w:lineRule="exact"/>
        <w:ind w:left="283" w:leftChars="135" w:firstLine="424" w:firstLineChars="202"/>
        <w:rPr>
          <w:highlight w:val="none"/>
        </w:rPr>
      </w:pPr>
      <w:r>
        <w:rPr>
          <w:rFonts w:hint="eastAsia"/>
          <w:highlight w:val="none"/>
        </w:rPr>
        <w:t>（2）成交供应商接到用户服务请求后，无法通过远程方式解决的，应在规定时间内安排维护人员到现场进行解决。</w:t>
      </w:r>
    </w:p>
    <w:p w14:paraId="674364B0">
      <w:pPr>
        <w:spacing w:line="460" w:lineRule="exact"/>
        <w:ind w:left="283" w:leftChars="135" w:firstLine="424" w:firstLineChars="202"/>
        <w:rPr>
          <w:highlight w:val="none"/>
        </w:rPr>
      </w:pPr>
      <w:r>
        <w:rPr>
          <w:rFonts w:hint="eastAsia"/>
          <w:highlight w:val="none"/>
        </w:rPr>
        <w:t>（</w:t>
      </w:r>
      <w:r>
        <w:rPr>
          <w:highlight w:val="none"/>
        </w:rPr>
        <w:t>3</w:t>
      </w:r>
      <w:r>
        <w:rPr>
          <w:rFonts w:hint="eastAsia"/>
          <w:highlight w:val="none"/>
        </w:rPr>
        <w:t>）故障设备和软件在保修期内和保修期外的处理方式</w:t>
      </w:r>
    </w:p>
    <w:p w14:paraId="54AD7B5E">
      <w:pPr>
        <w:spacing w:line="460" w:lineRule="exact"/>
        <w:ind w:left="283" w:leftChars="135" w:firstLine="424" w:firstLineChars="202"/>
        <w:rPr>
          <w:highlight w:val="none"/>
        </w:rPr>
      </w:pPr>
      <w:r>
        <w:rPr>
          <w:rFonts w:hint="eastAsia"/>
          <w:highlight w:val="none"/>
        </w:rPr>
        <w:t>设备和软件在保修期内且不属于成交供应商提供的：原则上仍由设备供应商提供服务，成交供应商有责任协助用户进行故障诊断及其定位，并协调设备供应商及时解决相关故障。</w:t>
      </w:r>
    </w:p>
    <w:p w14:paraId="1A55D8FE">
      <w:pPr>
        <w:spacing w:line="460" w:lineRule="exact"/>
        <w:ind w:left="283" w:leftChars="135" w:firstLine="424" w:firstLineChars="202"/>
        <w:rPr>
          <w:highlight w:val="none"/>
        </w:rPr>
      </w:pPr>
      <w:r>
        <w:rPr>
          <w:rFonts w:hint="eastAsia"/>
          <w:highlight w:val="none"/>
        </w:rPr>
        <w:t>设备和软件在保修期外的：由成交供应商进行故障诊断后，根据实际情况将相关的解决办法提交用户选择。如果用户要求而且成交供应商能够修复的设备，由成交供应商负责修复；如用户方需要专业公司修复或更换设备，成交供应商负责请有关专业公司修复设备或购买新设备，修复设备或购买新设备的资金，由用户方负责。用户软件在保修期内且不属于成交供应商开发或提供的，原则上仍由软件供应商提供服务，成交供应商提供协助。</w:t>
      </w:r>
    </w:p>
    <w:p w14:paraId="10DFE027">
      <w:pPr>
        <w:widowControl/>
        <w:numPr>
          <w:ilvl w:val="1"/>
          <w:numId w:val="1"/>
        </w:numPr>
        <w:tabs>
          <w:tab w:val="left" w:pos="709"/>
        </w:tabs>
        <w:spacing w:line="460" w:lineRule="exact"/>
        <w:ind w:left="709" w:hanging="425"/>
        <w:jc w:val="left"/>
        <w:rPr>
          <w:b/>
          <w:bCs/>
          <w:highlight w:val="none"/>
        </w:rPr>
      </w:pPr>
      <w:r>
        <w:rPr>
          <w:rFonts w:hint="eastAsia"/>
          <w:b/>
          <w:bCs/>
          <w:highlight w:val="none"/>
        </w:rPr>
        <w:t>服务实施</w:t>
      </w:r>
    </w:p>
    <w:p w14:paraId="3DF93AF5">
      <w:pPr>
        <w:spacing w:line="460" w:lineRule="exact"/>
        <w:ind w:left="283" w:leftChars="135" w:firstLine="424" w:firstLineChars="202"/>
        <w:rPr>
          <w:highlight w:val="none"/>
        </w:rPr>
      </w:pPr>
      <w:r>
        <w:rPr>
          <w:rFonts w:hint="eastAsia"/>
          <w:highlight w:val="none"/>
        </w:rPr>
        <w:t>要求根据本项目建立相关的运维工作流程和运维检查要点。</w:t>
      </w:r>
    </w:p>
    <w:p w14:paraId="663AADD4">
      <w:pPr>
        <w:widowControl/>
        <w:numPr>
          <w:ilvl w:val="1"/>
          <w:numId w:val="1"/>
        </w:numPr>
        <w:tabs>
          <w:tab w:val="left" w:pos="709"/>
        </w:tabs>
        <w:spacing w:line="460" w:lineRule="exact"/>
        <w:ind w:left="709" w:hanging="425"/>
        <w:jc w:val="left"/>
        <w:rPr>
          <w:b/>
          <w:bCs/>
          <w:highlight w:val="none"/>
        </w:rPr>
      </w:pPr>
      <w:r>
        <w:rPr>
          <w:rFonts w:hint="eastAsia"/>
          <w:b/>
          <w:bCs/>
          <w:highlight w:val="none"/>
        </w:rPr>
        <w:t>服务保障</w:t>
      </w:r>
    </w:p>
    <w:p w14:paraId="0654EF46">
      <w:pPr>
        <w:spacing w:line="460" w:lineRule="exact"/>
        <w:ind w:left="283" w:leftChars="135" w:firstLine="424" w:firstLineChars="202"/>
        <w:rPr>
          <w:highlight w:val="none"/>
        </w:rPr>
      </w:pPr>
      <w:r>
        <w:rPr>
          <w:rFonts w:hint="eastAsia"/>
          <w:highlight w:val="none"/>
        </w:rPr>
        <w:t>要求根据本项目建立相关的实施组织保障和项目质量保障措施。</w:t>
      </w:r>
    </w:p>
    <w:p w14:paraId="50520442">
      <w:pPr>
        <w:widowControl/>
        <w:numPr>
          <w:ilvl w:val="1"/>
          <w:numId w:val="1"/>
        </w:numPr>
        <w:tabs>
          <w:tab w:val="left" w:pos="709"/>
        </w:tabs>
        <w:spacing w:line="460" w:lineRule="exact"/>
        <w:ind w:left="709" w:hanging="425"/>
        <w:jc w:val="left"/>
        <w:rPr>
          <w:b/>
          <w:bCs/>
          <w:highlight w:val="none"/>
        </w:rPr>
      </w:pPr>
      <w:r>
        <w:rPr>
          <w:rFonts w:hint="eastAsia"/>
          <w:b/>
          <w:bCs/>
          <w:highlight w:val="none"/>
        </w:rPr>
        <w:t>人员配备</w:t>
      </w:r>
    </w:p>
    <w:p w14:paraId="746090D5">
      <w:pPr>
        <w:spacing w:line="460" w:lineRule="exact"/>
        <w:ind w:left="283" w:leftChars="135" w:firstLine="424" w:firstLineChars="202"/>
        <w:rPr>
          <w:highlight w:val="none"/>
        </w:rPr>
      </w:pPr>
      <w:r>
        <w:rPr>
          <w:rFonts w:hint="eastAsia"/>
          <w:highlight w:val="none"/>
          <w:lang w:eastAsia="zh-CN"/>
        </w:rPr>
        <w:t>市政府大院内</w:t>
      </w:r>
      <w:r>
        <w:rPr>
          <w:rFonts w:hint="eastAsia"/>
          <w:highlight w:val="none"/>
        </w:rPr>
        <w:t>及中山市政务服务中心运维涉及多项计算机技术，包括信息化网络技术、各种服务器维护操作等，成交供应商应对此熟悉并配备相应的维护技术人员。具体人员要求：</w:t>
      </w:r>
    </w:p>
    <w:p w14:paraId="22A29328">
      <w:pPr>
        <w:numPr>
          <w:ilvl w:val="0"/>
          <w:numId w:val="4"/>
        </w:numPr>
        <w:spacing w:line="460" w:lineRule="exact"/>
        <w:ind w:left="283" w:leftChars="135" w:firstLine="424" w:firstLineChars="202"/>
        <w:rPr>
          <w:rFonts w:hint="eastAsia"/>
          <w:highlight w:val="none"/>
        </w:rPr>
      </w:pPr>
      <w:r>
        <w:rPr>
          <w:rFonts w:hint="eastAsia"/>
          <w:highlight w:val="none"/>
        </w:rPr>
        <w:t>要求具备</w:t>
      </w:r>
      <w:r>
        <w:rPr>
          <w:rFonts w:hint="eastAsia"/>
          <w:highlight w:val="none"/>
          <w:lang w:val="en-US" w:eastAsia="zh-CN"/>
        </w:rPr>
        <w:t>8</w:t>
      </w:r>
      <w:r>
        <w:rPr>
          <w:rFonts w:hint="eastAsia"/>
          <w:highlight w:val="none"/>
        </w:rPr>
        <w:t>名或以上熟悉信息化网络和相关设备维护的专职技术人员；</w:t>
      </w:r>
    </w:p>
    <w:p w14:paraId="4ED6F7B0">
      <w:pPr>
        <w:numPr>
          <w:ilvl w:val="0"/>
          <w:numId w:val="4"/>
        </w:numPr>
        <w:spacing w:line="460" w:lineRule="exact"/>
        <w:ind w:left="283" w:leftChars="135" w:firstLine="424" w:firstLineChars="202"/>
        <w:rPr>
          <w:rFonts w:hint="eastAsia"/>
          <w:highlight w:val="none"/>
        </w:rPr>
      </w:pPr>
      <w:r>
        <w:rPr>
          <w:rFonts w:hint="eastAsia"/>
          <w:highlight w:val="none"/>
        </w:rPr>
        <w:t>项目投入人员中至少有3名计算机本科</w:t>
      </w:r>
      <w:r>
        <w:rPr>
          <w:rFonts w:hint="eastAsia"/>
          <w:highlight w:val="none"/>
          <w:lang w:val="en-US" w:eastAsia="zh-CN"/>
        </w:rPr>
        <w:t>毕业</w:t>
      </w:r>
      <w:r>
        <w:rPr>
          <w:rFonts w:hint="eastAsia"/>
          <w:highlight w:val="none"/>
        </w:rPr>
        <w:t>或</w:t>
      </w:r>
      <w:r>
        <w:rPr>
          <w:rFonts w:hint="eastAsia"/>
          <w:highlight w:val="none"/>
          <w:lang w:val="en-US" w:eastAsia="zh-CN"/>
        </w:rPr>
        <w:t>中级以上计算机网络类工程师证书</w:t>
      </w:r>
      <w:r>
        <w:rPr>
          <w:rFonts w:hint="eastAsia"/>
          <w:highlight w:val="none"/>
        </w:rPr>
        <w:t>；</w:t>
      </w:r>
    </w:p>
    <w:p w14:paraId="007E9F0E">
      <w:pPr>
        <w:spacing w:line="460" w:lineRule="exact"/>
        <w:ind w:left="283" w:leftChars="135" w:firstLine="424" w:firstLineChars="202"/>
        <w:rPr>
          <w:highlight w:val="none"/>
        </w:rPr>
      </w:pPr>
      <w:r>
        <w:rPr>
          <w:rFonts w:hint="eastAsia"/>
          <w:highlight w:val="none"/>
        </w:rPr>
        <w:t>（3）签订合同后，未经采购人同意，不得更换网络运维的主要技术人员；</w:t>
      </w:r>
    </w:p>
    <w:p w14:paraId="5664D8F2">
      <w:pPr>
        <w:spacing w:line="460" w:lineRule="exact"/>
        <w:ind w:left="283" w:leftChars="135" w:firstLine="424" w:firstLineChars="202"/>
        <w:rPr>
          <w:rFonts w:hint="eastAsia"/>
          <w:highlight w:val="none"/>
        </w:rPr>
      </w:pPr>
      <w:r>
        <w:rPr>
          <w:rFonts w:hint="eastAsia"/>
          <w:highlight w:val="none"/>
        </w:rPr>
        <w:t>（4）签订合同后，成交供应商必须派驻8名或以上人员常驻采购人指定的地点。</w:t>
      </w:r>
    </w:p>
    <w:p w14:paraId="7694DB04">
      <w:pPr>
        <w:spacing w:line="460" w:lineRule="exact"/>
        <w:ind w:left="283" w:leftChars="135" w:firstLine="424" w:firstLineChars="202"/>
        <w:rPr>
          <w:highlight w:val="none"/>
        </w:rPr>
      </w:pPr>
      <w:r>
        <w:rPr>
          <w:rFonts w:hint="eastAsia"/>
          <w:highlight w:val="none"/>
        </w:rPr>
        <w:t>成交供应商要明确组织结构、岗位设置和岗位职责和人员安排，并提交采购人备案。</w:t>
      </w:r>
    </w:p>
    <w:p w14:paraId="55AAC6A9">
      <w:pPr>
        <w:spacing w:line="460" w:lineRule="exact"/>
        <w:ind w:left="283" w:leftChars="135" w:firstLine="424" w:firstLineChars="202"/>
        <w:rPr>
          <w:highlight w:val="none"/>
        </w:rPr>
      </w:pPr>
      <w:r>
        <w:rPr>
          <w:rFonts w:hint="eastAsia"/>
          <w:highlight w:val="none"/>
        </w:rPr>
        <w:t>成交供应商须保证维护实施人员充足，队伍稳定，并提交专职技术人员的身份证件和相关专业、资格证书给采购人备案。</w:t>
      </w:r>
    </w:p>
    <w:p w14:paraId="6B19BCC7">
      <w:pPr>
        <w:widowControl/>
        <w:numPr>
          <w:ilvl w:val="1"/>
          <w:numId w:val="1"/>
        </w:numPr>
        <w:tabs>
          <w:tab w:val="left" w:pos="709"/>
        </w:tabs>
        <w:spacing w:line="460" w:lineRule="exact"/>
        <w:ind w:left="709" w:hanging="425"/>
        <w:jc w:val="left"/>
        <w:rPr>
          <w:b/>
          <w:bCs/>
          <w:highlight w:val="none"/>
        </w:rPr>
      </w:pPr>
      <w:r>
        <w:rPr>
          <w:rFonts w:hint="eastAsia"/>
          <w:b/>
          <w:bCs/>
          <w:highlight w:val="none"/>
        </w:rPr>
        <w:t>工作场所</w:t>
      </w:r>
    </w:p>
    <w:p w14:paraId="3EED11C7">
      <w:pPr>
        <w:spacing w:line="460" w:lineRule="exact"/>
        <w:ind w:left="283" w:leftChars="135" w:firstLine="424" w:firstLineChars="202"/>
        <w:rPr>
          <w:rFonts w:hint="eastAsia"/>
          <w:highlight w:val="none"/>
        </w:rPr>
      </w:pPr>
      <w:r>
        <w:rPr>
          <w:rFonts w:hint="eastAsia"/>
          <w:highlight w:val="none"/>
        </w:rPr>
        <w:t>为适应</w:t>
      </w:r>
      <w:r>
        <w:rPr>
          <w:rFonts w:hint="eastAsia"/>
          <w:highlight w:val="none"/>
          <w:lang w:eastAsia="zh-CN"/>
        </w:rPr>
        <w:t>市政府大院内</w:t>
      </w:r>
      <w:r>
        <w:rPr>
          <w:rFonts w:hint="eastAsia"/>
          <w:highlight w:val="none"/>
        </w:rPr>
        <w:t>及中山市政务服务中心运维响应高时效性和运维监督的需要，</w:t>
      </w:r>
      <w:r>
        <w:rPr>
          <w:rFonts w:hint="eastAsia"/>
          <w:bCs/>
          <w:highlight w:val="none"/>
        </w:rPr>
        <w:t>要求</w:t>
      </w:r>
      <w:r>
        <w:rPr>
          <w:rFonts w:hint="eastAsia"/>
          <w:highlight w:val="none"/>
        </w:rPr>
        <w:t>成交供应商</w:t>
      </w:r>
      <w:r>
        <w:rPr>
          <w:rFonts w:hint="eastAsia"/>
          <w:bCs/>
          <w:highlight w:val="none"/>
        </w:rPr>
        <w:t>常驻采购人指定的地点。</w:t>
      </w:r>
      <w:r>
        <w:rPr>
          <w:rFonts w:hint="eastAsia"/>
          <w:highlight w:val="none"/>
        </w:rPr>
        <w:t>相关工作人员的日常工作时间应比采购人规定上班时间提前10分钟，在节假日需提供电话服务值班。</w:t>
      </w:r>
    </w:p>
    <w:p w14:paraId="6B6C68FE">
      <w:pPr>
        <w:widowControl/>
        <w:numPr>
          <w:ilvl w:val="1"/>
          <w:numId w:val="1"/>
        </w:numPr>
        <w:tabs>
          <w:tab w:val="left" w:pos="709"/>
        </w:tabs>
        <w:spacing w:line="460" w:lineRule="exact"/>
        <w:ind w:left="709" w:hanging="425"/>
        <w:jc w:val="left"/>
        <w:rPr>
          <w:b/>
          <w:bCs/>
          <w:highlight w:val="none"/>
        </w:rPr>
      </w:pPr>
      <w:r>
        <w:rPr>
          <w:rFonts w:hint="eastAsia"/>
          <w:b/>
          <w:bCs/>
          <w:highlight w:val="none"/>
        </w:rPr>
        <w:t>运维工具</w:t>
      </w:r>
    </w:p>
    <w:p w14:paraId="0E1E7314">
      <w:pPr>
        <w:spacing w:line="460" w:lineRule="exact"/>
        <w:ind w:left="283" w:leftChars="135" w:firstLine="424" w:firstLineChars="202"/>
        <w:rPr>
          <w:highlight w:val="none"/>
        </w:rPr>
      </w:pPr>
      <w:r>
        <w:rPr>
          <w:rFonts w:hint="eastAsia"/>
          <w:highlight w:val="none"/>
        </w:rPr>
        <w:t>（1）</w:t>
      </w:r>
      <w:r>
        <w:rPr>
          <w:highlight w:val="none"/>
        </w:rPr>
        <w:t>配备2</w:t>
      </w:r>
      <w:r>
        <w:rPr>
          <w:rFonts w:hint="eastAsia"/>
          <w:highlight w:val="none"/>
        </w:rPr>
        <w:t>台以上运维专用</w:t>
      </w:r>
      <w:r>
        <w:rPr>
          <w:highlight w:val="none"/>
        </w:rPr>
        <w:t>车</w:t>
      </w:r>
      <w:r>
        <w:rPr>
          <w:rFonts w:hint="eastAsia"/>
          <w:highlight w:val="none"/>
        </w:rPr>
        <w:t>辆</w:t>
      </w:r>
      <w:r>
        <w:rPr>
          <w:highlight w:val="none"/>
        </w:rPr>
        <w:t>作交通支持，保证</w:t>
      </w:r>
      <w:r>
        <w:rPr>
          <w:rFonts w:hint="eastAsia"/>
          <w:highlight w:val="none"/>
        </w:rPr>
        <w:t>定期巡检任务正常开展和运维响应</w:t>
      </w:r>
      <w:r>
        <w:rPr>
          <w:highlight w:val="none"/>
        </w:rPr>
        <w:t>及时到场</w:t>
      </w:r>
      <w:r>
        <w:rPr>
          <w:rFonts w:hint="eastAsia"/>
          <w:highlight w:val="none"/>
        </w:rPr>
        <w:t>；</w:t>
      </w:r>
    </w:p>
    <w:p w14:paraId="37EB56BF">
      <w:pPr>
        <w:spacing w:line="460" w:lineRule="exact"/>
        <w:ind w:left="283" w:leftChars="135" w:firstLine="424" w:firstLineChars="202"/>
        <w:rPr>
          <w:highlight w:val="none"/>
        </w:rPr>
      </w:pPr>
      <w:r>
        <w:rPr>
          <w:rFonts w:hint="eastAsia"/>
          <w:highlight w:val="none"/>
        </w:rPr>
        <w:t>（2）配备</w:t>
      </w:r>
      <w:r>
        <w:rPr>
          <w:highlight w:val="none"/>
        </w:rPr>
        <w:t>2</w:t>
      </w:r>
      <w:r>
        <w:rPr>
          <w:rFonts w:hint="eastAsia"/>
          <w:highlight w:val="none"/>
        </w:rPr>
        <w:t>台以上笔记本电脑作运维专用。</w:t>
      </w:r>
    </w:p>
    <w:p w14:paraId="14DF461D">
      <w:pPr>
        <w:spacing w:line="460" w:lineRule="exact"/>
        <w:ind w:left="283" w:leftChars="135" w:firstLine="424" w:firstLineChars="202"/>
        <w:rPr>
          <w:highlight w:val="none"/>
        </w:rPr>
      </w:pPr>
      <w:r>
        <w:rPr>
          <w:rFonts w:hint="eastAsia"/>
          <w:highlight w:val="none"/>
        </w:rPr>
        <w:t>（3）配备网络检测和维护工具（专用检测软件、测线仪、铰线钳等设备和工具）、数据备份工具（备份软件、设备和各种存储介质）、查杀病毒工具（病毒、木马查杀软件）。</w:t>
      </w:r>
    </w:p>
    <w:p w14:paraId="4FED2F04">
      <w:pPr>
        <w:spacing w:line="460" w:lineRule="exact"/>
        <w:ind w:left="283" w:leftChars="135" w:firstLine="424" w:firstLineChars="202"/>
        <w:rPr>
          <w:rFonts w:hint="default" w:eastAsia="宋体"/>
          <w:highlight w:val="none"/>
          <w:lang w:val="en-US" w:eastAsia="zh-CN"/>
        </w:rPr>
      </w:pPr>
      <w:r>
        <w:rPr>
          <w:rFonts w:hint="eastAsia"/>
          <w:highlight w:val="none"/>
        </w:rPr>
        <w:t>（4）配备专用电话、传真机、复印机、打印机和</w:t>
      </w:r>
      <w:r>
        <w:rPr>
          <w:rFonts w:hint="eastAsia"/>
          <w:highlight w:val="none"/>
          <w:lang w:eastAsia="zh-CN"/>
        </w:rPr>
        <w:t>其他</w:t>
      </w:r>
      <w:r>
        <w:rPr>
          <w:rFonts w:hint="eastAsia"/>
          <w:highlight w:val="none"/>
        </w:rPr>
        <w:t>必备的运维工具。</w:t>
      </w:r>
    </w:p>
    <w:p w14:paraId="190E5ABB">
      <w:pPr>
        <w:widowControl/>
        <w:numPr>
          <w:ilvl w:val="1"/>
          <w:numId w:val="1"/>
        </w:numPr>
        <w:tabs>
          <w:tab w:val="left" w:pos="709"/>
        </w:tabs>
        <w:spacing w:line="460" w:lineRule="exact"/>
        <w:ind w:left="709" w:hanging="425"/>
        <w:jc w:val="left"/>
        <w:rPr>
          <w:b/>
          <w:bCs/>
          <w:highlight w:val="none"/>
        </w:rPr>
      </w:pPr>
      <w:r>
        <w:rPr>
          <w:rFonts w:hint="eastAsia"/>
          <w:b/>
          <w:bCs/>
          <w:highlight w:val="none"/>
        </w:rPr>
        <w:t>备品备件</w:t>
      </w:r>
    </w:p>
    <w:p w14:paraId="5D0A68B2">
      <w:pPr>
        <w:spacing w:line="460" w:lineRule="exact"/>
        <w:ind w:left="283" w:leftChars="135" w:firstLine="424" w:firstLineChars="202"/>
        <w:rPr>
          <w:rFonts w:hint="eastAsia"/>
          <w:highlight w:val="none"/>
        </w:rPr>
      </w:pPr>
      <w:r>
        <w:rPr>
          <w:rFonts w:hint="eastAsia"/>
          <w:highlight w:val="none"/>
        </w:rPr>
        <w:t>成交供应商需提供符合采购人同型号的网络交换设备整机备机和</w:t>
      </w:r>
      <w:r>
        <w:rPr>
          <w:rFonts w:hint="eastAsia"/>
          <w:highlight w:val="none"/>
          <w:lang w:eastAsia="zh-CN"/>
        </w:rPr>
        <w:t>其他</w:t>
      </w:r>
      <w:r>
        <w:rPr>
          <w:rFonts w:hint="eastAsia"/>
          <w:highlight w:val="none"/>
        </w:rPr>
        <w:t>运维必需的各种配件，以保证损坏的设备能及时得到临时替换，如属交换机故障而不能在报障当日排除故障的，运维服务应于24小时内提供性能相当的临时代用设备。另外，成交供应商须备有平台运维应具备的软硬件技术资料和系统应用操作手册，随时为各单位提供咨询服务。</w:t>
      </w:r>
    </w:p>
    <w:p w14:paraId="3404FECA">
      <w:pPr>
        <w:tabs>
          <w:tab w:val="left" w:pos="709"/>
        </w:tabs>
        <w:snapToGrid w:val="0"/>
        <w:spacing w:line="460" w:lineRule="exact"/>
        <w:rPr>
          <w:rFonts w:hint="eastAsia"/>
          <w:b/>
          <w:sz w:val="30"/>
          <w:szCs w:val="30"/>
          <w:highlight w:val="none"/>
        </w:rPr>
      </w:pPr>
    </w:p>
    <w:p w14:paraId="359FCC54">
      <w:pPr>
        <w:tabs>
          <w:tab w:val="left" w:pos="709"/>
        </w:tabs>
        <w:snapToGrid w:val="0"/>
        <w:spacing w:line="460" w:lineRule="exact"/>
        <w:rPr>
          <w:rFonts w:hint="eastAsia"/>
          <w:b/>
          <w:sz w:val="30"/>
          <w:szCs w:val="30"/>
          <w:highlight w:val="none"/>
        </w:rPr>
      </w:pPr>
      <w:r>
        <w:rPr>
          <w:rFonts w:hint="eastAsia"/>
          <w:b/>
          <w:sz w:val="30"/>
          <w:szCs w:val="30"/>
          <w:highlight w:val="none"/>
        </w:rPr>
        <w:t>三、考核要求</w:t>
      </w:r>
    </w:p>
    <w:p w14:paraId="5318376F">
      <w:pPr>
        <w:pStyle w:val="2"/>
        <w:spacing w:line="480" w:lineRule="auto"/>
        <w:ind w:firstLine="420" w:firstLineChars="200"/>
        <w:rPr>
          <w:rFonts w:hint="eastAsia" w:hAnsi="宋体" w:eastAsia="宋体" w:cs="宋体"/>
          <w:sz w:val="21"/>
          <w:szCs w:val="21"/>
          <w:highlight w:val="none"/>
          <w:lang w:eastAsia="zh-CN"/>
        </w:rPr>
      </w:pPr>
      <w:r>
        <w:rPr>
          <w:rFonts w:hint="eastAsia" w:ascii="Times New Roman" w:hAnsi="Times New Roman"/>
          <w:sz w:val="21"/>
          <w:szCs w:val="24"/>
          <w:highlight w:val="none"/>
        </w:rPr>
        <w:t>1、</w:t>
      </w:r>
      <w:r>
        <w:rPr>
          <w:rFonts w:hint="eastAsia" w:ascii="Times New Roman" w:hAnsi="Times New Roman"/>
          <w:sz w:val="21"/>
          <w:szCs w:val="24"/>
          <w:highlight w:val="none"/>
          <w:lang w:eastAsia="zh-CN"/>
        </w:rPr>
        <w:t>采购人</w:t>
      </w:r>
      <w:r>
        <w:rPr>
          <w:rFonts w:hint="eastAsia" w:ascii="Times New Roman"/>
          <w:sz w:val="21"/>
          <w:szCs w:val="24"/>
          <w:highlight w:val="none"/>
          <w:lang w:eastAsia="zh-CN"/>
        </w:rPr>
        <w:t>在合同期内</w:t>
      </w:r>
      <w:r>
        <w:rPr>
          <w:rFonts w:hint="eastAsia" w:hAnsi="宋体" w:cs="宋体"/>
          <w:sz w:val="21"/>
          <w:szCs w:val="21"/>
          <w:highlight w:val="none"/>
        </w:rPr>
        <w:t>对乙方的服务质量进行</w:t>
      </w:r>
      <w:r>
        <w:rPr>
          <w:rFonts w:hint="eastAsia" w:hAnsi="宋体" w:cs="宋体"/>
          <w:sz w:val="21"/>
          <w:szCs w:val="21"/>
          <w:highlight w:val="none"/>
          <w:lang w:val="en-US" w:eastAsia="zh-CN"/>
        </w:rPr>
        <w:t>4次</w:t>
      </w:r>
      <w:r>
        <w:rPr>
          <w:rFonts w:hint="eastAsia" w:hAnsi="宋体" w:cs="宋体"/>
          <w:sz w:val="21"/>
          <w:szCs w:val="21"/>
          <w:highlight w:val="none"/>
          <w:lang w:eastAsia="zh-CN"/>
        </w:rPr>
        <w:t>考核</w:t>
      </w:r>
      <w:r>
        <w:rPr>
          <w:rFonts w:hint="eastAsia" w:hAnsi="宋体" w:cs="宋体"/>
          <w:sz w:val="21"/>
          <w:szCs w:val="21"/>
          <w:highlight w:val="none"/>
        </w:rPr>
        <w:t>，</w:t>
      </w:r>
      <w:r>
        <w:rPr>
          <w:rFonts w:hint="eastAsia" w:hAnsi="宋体" w:cs="宋体"/>
          <w:sz w:val="21"/>
          <w:szCs w:val="21"/>
          <w:highlight w:val="none"/>
          <w:lang w:val="en-US" w:eastAsia="zh-CN"/>
        </w:rPr>
        <w:t>并</w:t>
      </w:r>
      <w:r>
        <w:rPr>
          <w:rFonts w:hint="eastAsia" w:hAnsi="宋体" w:cs="宋体"/>
          <w:sz w:val="21"/>
          <w:szCs w:val="21"/>
          <w:highlight w:val="none"/>
        </w:rPr>
        <w:t>根据</w:t>
      </w:r>
      <w:r>
        <w:rPr>
          <w:rFonts w:hint="eastAsia" w:hAnsi="宋体" w:cs="宋体"/>
          <w:sz w:val="21"/>
          <w:szCs w:val="21"/>
          <w:highlight w:val="none"/>
          <w:lang w:eastAsia="zh-CN"/>
        </w:rPr>
        <w:t>服务质量考核</w:t>
      </w:r>
      <w:r>
        <w:rPr>
          <w:rFonts w:hint="eastAsia" w:hAnsi="宋体" w:cs="宋体"/>
          <w:sz w:val="21"/>
          <w:szCs w:val="21"/>
          <w:highlight w:val="none"/>
        </w:rPr>
        <w:t>结果付款</w:t>
      </w:r>
      <w:r>
        <w:rPr>
          <w:rFonts w:hint="eastAsia" w:ascii="宋体" w:hAnsi="宋体" w:eastAsia="宋体" w:cs="宋体"/>
          <w:sz w:val="21"/>
          <w:szCs w:val="21"/>
          <w:highlight w:val="none"/>
          <w:lang w:eastAsia="zh-CN"/>
        </w:rPr>
        <w:t>。</w:t>
      </w:r>
    </w:p>
    <w:p w14:paraId="2FA37EBB">
      <w:pPr>
        <w:spacing w:line="480" w:lineRule="auto"/>
        <w:ind w:firstLine="420" w:firstLineChars="200"/>
        <w:rPr>
          <w:rFonts w:hint="eastAsia"/>
          <w:sz w:val="21"/>
          <w:szCs w:val="24"/>
          <w:highlight w:val="none"/>
        </w:rPr>
      </w:pPr>
      <w:r>
        <w:rPr>
          <w:rFonts w:hint="eastAsia" w:hAnsi="Times New Roman"/>
          <w:sz w:val="21"/>
          <w:szCs w:val="24"/>
          <w:highlight w:val="none"/>
        </w:rPr>
        <w:t>2、</w:t>
      </w:r>
      <w:r>
        <w:rPr>
          <w:rFonts w:hint="eastAsia" w:hAnsi="Times New Roman"/>
          <w:sz w:val="21"/>
          <w:szCs w:val="24"/>
          <w:highlight w:val="none"/>
          <w:lang w:eastAsia="zh-CN"/>
        </w:rPr>
        <w:t>服务质考核</w:t>
      </w:r>
      <w:r>
        <w:rPr>
          <w:rFonts w:hint="eastAsia" w:hAnsi="Times New Roman"/>
          <w:sz w:val="21"/>
          <w:szCs w:val="24"/>
          <w:highlight w:val="none"/>
        </w:rPr>
        <w:t>采用综合评分法</w:t>
      </w:r>
      <w:r>
        <w:rPr>
          <w:rFonts w:hint="eastAsia" w:hAnsi="Times New Roman"/>
          <w:sz w:val="21"/>
          <w:szCs w:val="24"/>
          <w:highlight w:val="none"/>
          <w:lang w:eastAsia="zh-CN"/>
        </w:rPr>
        <w:t>，采购人通过服务人员考核、日常维护、运行质量、运维工作产出物质量、</w:t>
      </w:r>
      <w:r>
        <w:rPr>
          <w:rFonts w:hint="eastAsia"/>
          <w:sz w:val="21"/>
          <w:szCs w:val="24"/>
          <w:highlight w:val="none"/>
        </w:rPr>
        <w:t>运维专项活动质量</w:t>
      </w:r>
      <w:r>
        <w:rPr>
          <w:rFonts w:hint="eastAsia"/>
          <w:sz w:val="21"/>
          <w:szCs w:val="24"/>
          <w:highlight w:val="none"/>
          <w:lang w:eastAsia="zh-CN"/>
        </w:rPr>
        <w:t>、</w:t>
      </w:r>
      <w:r>
        <w:rPr>
          <w:rFonts w:hint="eastAsia"/>
          <w:sz w:val="21"/>
          <w:szCs w:val="24"/>
          <w:highlight w:val="none"/>
        </w:rPr>
        <w:t>响应型服务质量</w:t>
      </w:r>
      <w:r>
        <w:rPr>
          <w:rFonts w:hint="eastAsia"/>
          <w:sz w:val="21"/>
          <w:szCs w:val="24"/>
          <w:highlight w:val="none"/>
          <w:lang w:eastAsia="zh-CN"/>
        </w:rPr>
        <w:t>、</w:t>
      </w:r>
      <w:r>
        <w:rPr>
          <w:rFonts w:hint="eastAsia"/>
          <w:sz w:val="21"/>
          <w:szCs w:val="24"/>
          <w:highlight w:val="none"/>
        </w:rPr>
        <w:t>服务评价</w:t>
      </w:r>
      <w:r>
        <w:rPr>
          <w:rFonts w:hint="eastAsia"/>
          <w:sz w:val="21"/>
          <w:szCs w:val="24"/>
          <w:highlight w:val="none"/>
          <w:lang w:eastAsia="zh-CN"/>
        </w:rPr>
        <w:t>考核，扣款系数按</w:t>
      </w:r>
      <w:r>
        <w:rPr>
          <w:rFonts w:hint="eastAsia"/>
          <w:sz w:val="21"/>
          <w:szCs w:val="24"/>
          <w:highlight w:val="none"/>
        </w:rPr>
        <w:t>考核表的综合得分，按5个档次设置扣除款项，扣</w:t>
      </w:r>
      <w:r>
        <w:rPr>
          <w:rFonts w:hint="eastAsia"/>
          <w:sz w:val="21"/>
          <w:szCs w:val="24"/>
          <w:highlight w:val="none"/>
          <w:lang w:eastAsia="zh-CN"/>
        </w:rPr>
        <w:t>款</w:t>
      </w:r>
      <w:r>
        <w:rPr>
          <w:rFonts w:hint="eastAsia"/>
          <w:sz w:val="21"/>
          <w:szCs w:val="24"/>
          <w:highlight w:val="none"/>
        </w:rPr>
        <w:t>系数具体如下：</w:t>
      </w:r>
    </w:p>
    <w:p w14:paraId="7DA747CC">
      <w:pPr>
        <w:pStyle w:val="2"/>
        <w:spacing w:line="480" w:lineRule="auto"/>
        <w:ind w:firstLine="480"/>
        <w:rPr>
          <w:rFonts w:hint="eastAsia" w:ascii="Times New Roman"/>
          <w:sz w:val="21"/>
          <w:szCs w:val="24"/>
          <w:highlight w:val="none"/>
        </w:rPr>
      </w:pPr>
      <w:r>
        <w:rPr>
          <w:rFonts w:hint="eastAsia" w:ascii="Times New Roman"/>
          <w:sz w:val="21"/>
          <w:szCs w:val="24"/>
          <w:highlight w:val="none"/>
        </w:rPr>
        <w:t xml:space="preserve"> （1）90分及以上，无需扣除；</w:t>
      </w:r>
    </w:p>
    <w:p w14:paraId="5131BB3A">
      <w:pPr>
        <w:pStyle w:val="2"/>
        <w:spacing w:line="480" w:lineRule="auto"/>
        <w:ind w:firstLine="480"/>
        <w:rPr>
          <w:rFonts w:hint="eastAsia" w:ascii="Times New Roman"/>
          <w:sz w:val="21"/>
          <w:szCs w:val="24"/>
          <w:highlight w:val="none"/>
        </w:rPr>
      </w:pPr>
      <w:r>
        <w:rPr>
          <w:rFonts w:hint="eastAsia" w:ascii="Times New Roman"/>
          <w:sz w:val="21"/>
          <w:szCs w:val="24"/>
          <w:highlight w:val="none"/>
        </w:rPr>
        <w:t xml:space="preserve"> （2）80分（含）-90分（不含），扣</w:t>
      </w:r>
      <w:r>
        <w:rPr>
          <w:rFonts w:hint="eastAsia" w:ascii="Times New Roman"/>
          <w:sz w:val="21"/>
          <w:szCs w:val="24"/>
          <w:highlight w:val="none"/>
          <w:lang w:eastAsia="zh-CN"/>
        </w:rPr>
        <w:t>除当期应支付款的</w:t>
      </w:r>
      <w:r>
        <w:rPr>
          <w:rFonts w:hint="eastAsia" w:ascii="Times New Roman"/>
          <w:sz w:val="21"/>
          <w:szCs w:val="24"/>
          <w:highlight w:val="none"/>
        </w:rPr>
        <w:t>10%；</w:t>
      </w:r>
    </w:p>
    <w:p w14:paraId="36B8700D">
      <w:pPr>
        <w:pStyle w:val="2"/>
        <w:spacing w:line="480" w:lineRule="auto"/>
        <w:ind w:firstLine="480"/>
        <w:rPr>
          <w:rFonts w:hint="eastAsia" w:ascii="Times New Roman"/>
          <w:sz w:val="21"/>
          <w:szCs w:val="24"/>
          <w:highlight w:val="none"/>
        </w:rPr>
      </w:pPr>
      <w:r>
        <w:rPr>
          <w:rFonts w:hint="eastAsia" w:ascii="Times New Roman"/>
          <w:sz w:val="21"/>
          <w:szCs w:val="24"/>
          <w:highlight w:val="none"/>
        </w:rPr>
        <w:t xml:space="preserve"> （3）70分（含）-80分（不含），扣</w:t>
      </w:r>
      <w:r>
        <w:rPr>
          <w:rFonts w:hint="eastAsia" w:ascii="Times New Roman"/>
          <w:sz w:val="21"/>
          <w:szCs w:val="24"/>
          <w:highlight w:val="none"/>
          <w:lang w:eastAsia="zh-CN"/>
        </w:rPr>
        <w:t>除当期应支付款的</w:t>
      </w:r>
      <w:r>
        <w:rPr>
          <w:rFonts w:hint="eastAsia" w:ascii="Times New Roman"/>
          <w:sz w:val="21"/>
          <w:szCs w:val="24"/>
          <w:highlight w:val="none"/>
        </w:rPr>
        <w:t>20%；</w:t>
      </w:r>
    </w:p>
    <w:p w14:paraId="0B2F9E4E">
      <w:pPr>
        <w:pStyle w:val="2"/>
        <w:spacing w:line="480" w:lineRule="auto"/>
        <w:ind w:firstLine="480"/>
        <w:rPr>
          <w:rFonts w:hint="eastAsia" w:ascii="Times New Roman"/>
          <w:sz w:val="21"/>
          <w:szCs w:val="24"/>
          <w:highlight w:val="none"/>
        </w:rPr>
      </w:pPr>
      <w:r>
        <w:rPr>
          <w:rFonts w:hint="eastAsia" w:ascii="Times New Roman"/>
          <w:sz w:val="21"/>
          <w:szCs w:val="24"/>
          <w:highlight w:val="none"/>
        </w:rPr>
        <w:t xml:space="preserve"> （4）60分（含）-70分（不含），扣</w:t>
      </w:r>
      <w:r>
        <w:rPr>
          <w:rFonts w:hint="eastAsia" w:ascii="Times New Roman"/>
          <w:sz w:val="21"/>
          <w:szCs w:val="24"/>
          <w:highlight w:val="none"/>
          <w:lang w:eastAsia="zh-CN"/>
        </w:rPr>
        <w:t>除当期应支付款的</w:t>
      </w:r>
      <w:r>
        <w:rPr>
          <w:rFonts w:hint="eastAsia" w:ascii="Times New Roman"/>
          <w:sz w:val="21"/>
          <w:szCs w:val="24"/>
          <w:highlight w:val="none"/>
        </w:rPr>
        <w:t>30%；</w:t>
      </w:r>
    </w:p>
    <w:p w14:paraId="4F54E481">
      <w:pPr>
        <w:pStyle w:val="2"/>
        <w:spacing w:line="480" w:lineRule="auto"/>
        <w:ind w:firstLine="480"/>
        <w:rPr>
          <w:rFonts w:hint="eastAsia" w:ascii="Times New Roman"/>
          <w:sz w:val="21"/>
          <w:szCs w:val="24"/>
          <w:highlight w:val="none"/>
        </w:rPr>
      </w:pPr>
      <w:r>
        <w:rPr>
          <w:rFonts w:hint="eastAsia" w:ascii="Times New Roman"/>
          <w:sz w:val="21"/>
          <w:szCs w:val="24"/>
          <w:highlight w:val="none"/>
        </w:rPr>
        <w:t xml:space="preserve"> （5）60分以下，扣</w:t>
      </w:r>
      <w:r>
        <w:rPr>
          <w:rFonts w:hint="eastAsia" w:ascii="Times New Roman"/>
          <w:sz w:val="21"/>
          <w:szCs w:val="24"/>
          <w:highlight w:val="none"/>
          <w:lang w:eastAsia="zh-CN"/>
        </w:rPr>
        <w:t>除当期应支付款的</w:t>
      </w:r>
      <w:r>
        <w:rPr>
          <w:rFonts w:hint="eastAsia" w:ascii="Times New Roman"/>
          <w:sz w:val="21"/>
          <w:szCs w:val="24"/>
          <w:highlight w:val="none"/>
        </w:rPr>
        <w:t>40%；</w:t>
      </w:r>
      <w:r>
        <w:rPr>
          <w:rFonts w:hint="eastAsia" w:ascii="Times New Roman"/>
          <w:sz w:val="21"/>
          <w:szCs w:val="24"/>
          <w:highlight w:val="none"/>
          <w:lang w:val="en-US" w:eastAsia="zh-CN"/>
        </w:rPr>
        <w:t>且</w:t>
      </w:r>
      <w:r>
        <w:rPr>
          <w:rFonts w:hint="eastAsia" w:ascii="Times New Roman"/>
          <w:sz w:val="21"/>
          <w:szCs w:val="24"/>
          <w:highlight w:val="none"/>
        </w:rPr>
        <w:t>采购人可视情况有权单方解除合同，除按上述标准扣除款项后支付费用外，因此给</w:t>
      </w:r>
      <w:r>
        <w:rPr>
          <w:rFonts w:hint="eastAsia" w:ascii="Times New Roman"/>
          <w:sz w:val="21"/>
          <w:szCs w:val="24"/>
          <w:highlight w:val="none"/>
          <w:lang w:val="en-US" w:eastAsia="zh-CN"/>
        </w:rPr>
        <w:t>采购人</w:t>
      </w:r>
      <w:r>
        <w:rPr>
          <w:rFonts w:hint="eastAsia" w:ascii="Times New Roman"/>
          <w:sz w:val="21"/>
          <w:szCs w:val="24"/>
          <w:highlight w:val="none"/>
        </w:rPr>
        <w:t>造成的损失由</w:t>
      </w:r>
      <w:r>
        <w:rPr>
          <w:rFonts w:hint="eastAsia" w:ascii="Times New Roman"/>
          <w:sz w:val="21"/>
          <w:szCs w:val="24"/>
          <w:highlight w:val="none"/>
          <w:lang w:val="en-US" w:eastAsia="zh-CN"/>
        </w:rPr>
        <w:t>供应商</w:t>
      </w:r>
      <w:r>
        <w:rPr>
          <w:rFonts w:hint="eastAsia" w:ascii="Times New Roman"/>
          <w:sz w:val="21"/>
          <w:szCs w:val="24"/>
          <w:highlight w:val="none"/>
        </w:rPr>
        <w:t>负责赔偿。</w:t>
      </w:r>
    </w:p>
    <w:p w14:paraId="6EA0905D">
      <w:pPr>
        <w:ind w:firstLine="420" w:firstLineChars="200"/>
        <w:rPr>
          <w:rFonts w:hint="eastAsia" w:ascii="Times New Roman" w:hAnsi="Times New Roman" w:eastAsia="宋体" w:cs="Times New Roman"/>
          <w:sz w:val="21"/>
          <w:szCs w:val="24"/>
          <w:highlight w:val="none"/>
          <w:lang w:eastAsia="zh-CN"/>
        </w:rPr>
      </w:pPr>
      <w:r>
        <w:rPr>
          <w:rFonts w:hint="eastAsia"/>
          <w:sz w:val="21"/>
          <w:szCs w:val="24"/>
          <w:highlight w:val="none"/>
          <w:lang w:val="en-US" w:eastAsia="zh-CN"/>
        </w:rPr>
        <w:t>3、</w:t>
      </w:r>
      <w:r>
        <w:rPr>
          <w:rFonts w:hint="eastAsia"/>
          <w:highlight w:val="none"/>
        </w:rPr>
        <w:t>中山市市政府大院内及中山市政务服务中心低端信息化设备维护服务项目质量考核表</w:t>
      </w:r>
      <w:r>
        <w:rPr>
          <w:rFonts w:hint="eastAsia"/>
          <w:highlight w:val="none"/>
          <w:lang w:eastAsia="zh-CN"/>
        </w:rPr>
        <w:t>：</w:t>
      </w:r>
    </w:p>
    <w:p w14:paraId="2CB27115">
      <w:pPr>
        <w:ind w:firstLine="420" w:firstLineChars="200"/>
        <w:rPr>
          <w:highlight w:val="none"/>
        </w:rPr>
      </w:pP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01"/>
        <w:gridCol w:w="915"/>
        <w:gridCol w:w="1140"/>
        <w:gridCol w:w="3885"/>
        <w:gridCol w:w="840"/>
        <w:gridCol w:w="765"/>
      </w:tblGrid>
      <w:tr w14:paraId="019345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single" w:color="000000" w:sz="4" w:space="0"/>
              <w:left w:val="single" w:color="000000" w:sz="4" w:space="0"/>
              <w:bottom w:val="single" w:color="000000" w:sz="4" w:space="0"/>
              <w:right w:val="single" w:color="000000" w:sz="4" w:space="0"/>
            </w:tcBorders>
            <w:shd w:val="clear" w:color="auto" w:fill="DEEBF6"/>
            <w:tcMar>
              <w:top w:w="0" w:type="dxa"/>
              <w:left w:w="105" w:type="dxa"/>
              <w:bottom w:w="0" w:type="dxa"/>
              <w:right w:w="105" w:type="dxa"/>
            </w:tcMar>
            <w:vAlign w:val="top"/>
          </w:tcPr>
          <w:p w14:paraId="1AEFF9FB">
            <w:pPr>
              <w:pStyle w:val="12"/>
              <w:jc w:val="center"/>
              <w:rPr>
                <w:rFonts w:hint="default"/>
                <w:highlight w:val="none"/>
              </w:rPr>
            </w:pPr>
            <w:r>
              <w:rPr>
                <w:b/>
                <w:sz w:val="21"/>
                <w:highlight w:val="none"/>
              </w:rPr>
              <w:t>序号</w:t>
            </w:r>
          </w:p>
        </w:tc>
        <w:tc>
          <w:tcPr>
            <w:tcW w:w="915" w:type="dxa"/>
            <w:tcBorders>
              <w:top w:val="single" w:color="000000" w:sz="4" w:space="0"/>
              <w:left w:val="nil"/>
              <w:bottom w:val="single" w:color="000000" w:sz="4" w:space="0"/>
              <w:right w:val="single" w:color="000000" w:sz="4" w:space="0"/>
            </w:tcBorders>
            <w:shd w:val="clear" w:color="auto" w:fill="DEEBF6"/>
            <w:tcMar>
              <w:top w:w="0" w:type="dxa"/>
              <w:left w:w="105" w:type="dxa"/>
              <w:bottom w:w="0" w:type="dxa"/>
              <w:right w:w="105" w:type="dxa"/>
            </w:tcMar>
            <w:vAlign w:val="top"/>
          </w:tcPr>
          <w:p w14:paraId="29DBB948">
            <w:pPr>
              <w:pStyle w:val="12"/>
              <w:jc w:val="center"/>
              <w:rPr>
                <w:rFonts w:hint="default"/>
                <w:highlight w:val="none"/>
              </w:rPr>
            </w:pPr>
            <w:r>
              <w:rPr>
                <w:b/>
                <w:sz w:val="21"/>
                <w:highlight w:val="none"/>
              </w:rPr>
              <w:t>考核类别</w:t>
            </w:r>
          </w:p>
        </w:tc>
        <w:tc>
          <w:tcPr>
            <w:tcW w:w="1140" w:type="dxa"/>
            <w:tcBorders>
              <w:top w:val="single" w:color="000000" w:sz="4" w:space="0"/>
              <w:left w:val="nil"/>
              <w:bottom w:val="single" w:color="000000" w:sz="4" w:space="0"/>
              <w:right w:val="single" w:color="000000" w:sz="4" w:space="0"/>
            </w:tcBorders>
            <w:shd w:val="clear" w:color="auto" w:fill="DEEBF6"/>
            <w:tcMar>
              <w:top w:w="0" w:type="dxa"/>
              <w:left w:w="105" w:type="dxa"/>
              <w:bottom w:w="0" w:type="dxa"/>
              <w:right w:w="105" w:type="dxa"/>
            </w:tcMar>
            <w:vAlign w:val="top"/>
          </w:tcPr>
          <w:p w14:paraId="5BDC1EA4">
            <w:pPr>
              <w:pStyle w:val="12"/>
              <w:jc w:val="center"/>
              <w:rPr>
                <w:rFonts w:hint="default"/>
                <w:highlight w:val="none"/>
              </w:rPr>
            </w:pPr>
            <w:r>
              <w:rPr>
                <w:b/>
                <w:sz w:val="21"/>
                <w:highlight w:val="none"/>
              </w:rPr>
              <w:t>考核项目</w:t>
            </w:r>
          </w:p>
        </w:tc>
        <w:tc>
          <w:tcPr>
            <w:tcW w:w="3885" w:type="dxa"/>
            <w:tcBorders>
              <w:top w:val="single" w:color="000000" w:sz="4" w:space="0"/>
              <w:left w:val="nil"/>
              <w:bottom w:val="single" w:color="000000" w:sz="4" w:space="0"/>
              <w:right w:val="single" w:color="000000" w:sz="4" w:space="0"/>
            </w:tcBorders>
            <w:shd w:val="clear" w:color="auto" w:fill="DEEBF6"/>
            <w:tcMar>
              <w:top w:w="0" w:type="dxa"/>
              <w:left w:w="105" w:type="dxa"/>
              <w:bottom w:w="0" w:type="dxa"/>
              <w:right w:w="105" w:type="dxa"/>
            </w:tcMar>
            <w:vAlign w:val="top"/>
          </w:tcPr>
          <w:p w14:paraId="3E1B0AF3">
            <w:pPr>
              <w:pStyle w:val="12"/>
              <w:jc w:val="center"/>
              <w:rPr>
                <w:rFonts w:hint="default"/>
                <w:highlight w:val="none"/>
              </w:rPr>
            </w:pPr>
            <w:r>
              <w:rPr>
                <w:b/>
                <w:sz w:val="21"/>
                <w:highlight w:val="none"/>
              </w:rPr>
              <w:t>考核内容</w:t>
            </w:r>
          </w:p>
        </w:tc>
        <w:tc>
          <w:tcPr>
            <w:tcW w:w="840" w:type="dxa"/>
            <w:tcBorders>
              <w:top w:val="single" w:color="000000" w:sz="4" w:space="0"/>
              <w:left w:val="nil"/>
              <w:bottom w:val="single" w:color="000000" w:sz="4" w:space="0"/>
              <w:right w:val="single" w:color="000000" w:sz="4" w:space="0"/>
            </w:tcBorders>
            <w:shd w:val="clear" w:color="auto" w:fill="DEEBF6"/>
            <w:tcMar>
              <w:top w:w="0" w:type="dxa"/>
              <w:left w:w="105" w:type="dxa"/>
              <w:bottom w:w="0" w:type="dxa"/>
              <w:right w:w="105" w:type="dxa"/>
            </w:tcMar>
            <w:vAlign w:val="top"/>
          </w:tcPr>
          <w:p w14:paraId="6D6AFFB4">
            <w:pPr>
              <w:pStyle w:val="12"/>
              <w:jc w:val="center"/>
              <w:rPr>
                <w:rFonts w:hint="default"/>
                <w:highlight w:val="none"/>
              </w:rPr>
            </w:pPr>
            <w:r>
              <w:rPr>
                <w:b/>
                <w:sz w:val="21"/>
                <w:highlight w:val="none"/>
              </w:rPr>
              <w:t>分值</w:t>
            </w:r>
          </w:p>
        </w:tc>
        <w:tc>
          <w:tcPr>
            <w:tcW w:w="765" w:type="dxa"/>
            <w:tcBorders>
              <w:top w:val="single" w:color="000000" w:sz="4" w:space="0"/>
              <w:left w:val="nil"/>
              <w:bottom w:val="single" w:color="000000" w:sz="4" w:space="0"/>
              <w:right w:val="single" w:color="000000" w:sz="4" w:space="0"/>
            </w:tcBorders>
            <w:shd w:val="clear" w:color="auto" w:fill="DEEBF6"/>
            <w:tcMar>
              <w:top w:w="0" w:type="dxa"/>
              <w:left w:w="105" w:type="dxa"/>
              <w:bottom w:w="0" w:type="dxa"/>
              <w:right w:w="105" w:type="dxa"/>
            </w:tcMar>
            <w:vAlign w:val="top"/>
          </w:tcPr>
          <w:p w14:paraId="228F4F86">
            <w:pPr>
              <w:pStyle w:val="12"/>
              <w:jc w:val="center"/>
              <w:rPr>
                <w:rFonts w:hint="eastAsia" w:eastAsiaTheme="minorEastAsia"/>
                <w:highlight w:val="none"/>
                <w:lang w:eastAsia="zh-CN"/>
              </w:rPr>
            </w:pPr>
            <w:r>
              <w:rPr>
                <w:rFonts w:hint="eastAsia"/>
                <w:b/>
                <w:sz w:val="21"/>
                <w:highlight w:val="none"/>
                <w:lang w:eastAsia="zh-CN"/>
              </w:rPr>
              <w:t>得分</w:t>
            </w:r>
          </w:p>
        </w:tc>
      </w:tr>
      <w:tr w14:paraId="7B89B7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5587A">
            <w:pPr>
              <w:pStyle w:val="12"/>
              <w:jc w:val="center"/>
              <w:rPr>
                <w:rFonts w:hint="default"/>
                <w:highlight w:val="none"/>
              </w:rPr>
            </w:pPr>
            <w:r>
              <w:rPr>
                <w:sz w:val="21"/>
                <w:highlight w:val="none"/>
              </w:rPr>
              <w:t>1</w:t>
            </w:r>
          </w:p>
        </w:tc>
        <w:tc>
          <w:tcPr>
            <w:tcW w:w="915" w:type="dxa"/>
            <w:vMerge w:val="restart"/>
            <w:tcBorders>
              <w:top w:val="nil"/>
              <w:left w:val="nil"/>
              <w:right w:val="single" w:color="000000" w:sz="4" w:space="0"/>
            </w:tcBorders>
            <w:tcMar>
              <w:top w:w="0" w:type="dxa"/>
              <w:left w:w="105" w:type="dxa"/>
              <w:bottom w:w="0" w:type="dxa"/>
              <w:right w:w="105" w:type="dxa"/>
            </w:tcMar>
            <w:vAlign w:val="top"/>
          </w:tcPr>
          <w:p w14:paraId="30D831D3">
            <w:pPr>
              <w:pStyle w:val="12"/>
              <w:rPr>
                <w:rFonts w:hint="default"/>
                <w:highlight w:val="none"/>
              </w:rPr>
            </w:pPr>
            <w:r>
              <w:rPr>
                <w:sz w:val="21"/>
                <w:highlight w:val="none"/>
              </w:rPr>
              <w:t>服务人员考核</w:t>
            </w: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A00CAC">
            <w:pPr>
              <w:pStyle w:val="12"/>
              <w:jc w:val="center"/>
              <w:rPr>
                <w:rFonts w:hint="default"/>
                <w:highlight w:val="none"/>
              </w:rPr>
            </w:pPr>
            <w:r>
              <w:rPr>
                <w:sz w:val="21"/>
                <w:highlight w:val="none"/>
              </w:rPr>
              <w:t>人员岗位设置</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B6B2BC">
            <w:pPr>
              <w:pStyle w:val="12"/>
              <w:rPr>
                <w:rFonts w:hint="default"/>
                <w:highlight w:val="none"/>
              </w:rPr>
            </w:pPr>
            <w:r>
              <w:rPr>
                <w:sz w:val="21"/>
                <w:highlight w:val="none"/>
              </w:rPr>
              <w:t>符合实际驻场人数/合同要求人数，不满足要求人数，每人次扣1分；</w:t>
            </w:r>
          </w:p>
        </w:tc>
        <w:tc>
          <w:tcPr>
            <w:tcW w:w="840" w:type="dxa"/>
            <w:vMerge w:val="restart"/>
            <w:tcBorders>
              <w:top w:val="nil"/>
              <w:left w:val="nil"/>
              <w:right w:val="single" w:color="000000" w:sz="4" w:space="0"/>
            </w:tcBorders>
            <w:tcMar>
              <w:top w:w="0" w:type="dxa"/>
              <w:left w:w="105" w:type="dxa"/>
              <w:bottom w:w="0" w:type="dxa"/>
              <w:right w:w="105" w:type="dxa"/>
            </w:tcMar>
            <w:vAlign w:val="center"/>
          </w:tcPr>
          <w:p w14:paraId="3241B21D">
            <w:pPr>
              <w:pStyle w:val="12"/>
              <w:jc w:val="center"/>
              <w:rPr>
                <w:rFonts w:hint="default"/>
                <w:highlight w:val="none"/>
                <w:lang w:eastAsia="zh-CN"/>
              </w:rPr>
            </w:pPr>
            <w:r>
              <w:rPr>
                <w:sz w:val="21"/>
                <w:highlight w:val="none"/>
                <w:lang w:eastAsia="zh-CN"/>
              </w:rPr>
              <w:t>20</w:t>
            </w:r>
          </w:p>
        </w:tc>
        <w:tc>
          <w:tcPr>
            <w:tcW w:w="765" w:type="dxa"/>
            <w:vMerge w:val="restart"/>
            <w:tcBorders>
              <w:top w:val="nil"/>
              <w:left w:val="nil"/>
              <w:right w:val="single" w:color="000000" w:sz="4" w:space="0"/>
            </w:tcBorders>
            <w:tcMar>
              <w:top w:w="0" w:type="dxa"/>
              <w:left w:w="105" w:type="dxa"/>
              <w:bottom w:w="0" w:type="dxa"/>
              <w:right w:w="105" w:type="dxa"/>
            </w:tcMar>
            <w:vAlign w:val="top"/>
          </w:tcPr>
          <w:p w14:paraId="1668C1F8">
            <w:pPr>
              <w:pStyle w:val="12"/>
              <w:jc w:val="center"/>
              <w:rPr>
                <w:sz w:val="21"/>
                <w:highlight w:val="none"/>
              </w:rPr>
            </w:pPr>
          </w:p>
          <w:p w14:paraId="1EDBF516">
            <w:pPr>
              <w:pStyle w:val="12"/>
              <w:jc w:val="center"/>
              <w:rPr>
                <w:sz w:val="21"/>
                <w:highlight w:val="none"/>
              </w:rPr>
            </w:pPr>
          </w:p>
          <w:p w14:paraId="4F0BD8C3">
            <w:pPr>
              <w:pStyle w:val="12"/>
              <w:jc w:val="center"/>
              <w:rPr>
                <w:highlight w:val="none"/>
              </w:rPr>
            </w:pPr>
          </w:p>
          <w:p w14:paraId="62089252">
            <w:pPr>
              <w:pStyle w:val="12"/>
              <w:jc w:val="center"/>
              <w:rPr>
                <w:highlight w:val="none"/>
              </w:rPr>
            </w:pPr>
          </w:p>
          <w:p w14:paraId="1918F3E2">
            <w:pPr>
              <w:pStyle w:val="12"/>
              <w:jc w:val="center"/>
              <w:rPr>
                <w:highlight w:val="none"/>
              </w:rPr>
            </w:pPr>
          </w:p>
        </w:tc>
      </w:tr>
      <w:tr w14:paraId="127571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EACACE">
            <w:pPr>
              <w:pStyle w:val="12"/>
              <w:jc w:val="center"/>
              <w:rPr>
                <w:rFonts w:hint="default"/>
                <w:highlight w:val="none"/>
              </w:rPr>
            </w:pPr>
            <w:r>
              <w:rPr>
                <w:sz w:val="21"/>
                <w:highlight w:val="none"/>
              </w:rPr>
              <w:t>2</w:t>
            </w:r>
          </w:p>
        </w:tc>
        <w:tc>
          <w:tcPr>
            <w:tcW w:w="915" w:type="dxa"/>
            <w:vMerge w:val="continue"/>
            <w:tcBorders>
              <w:left w:val="nil"/>
              <w:right w:val="single" w:color="000000" w:sz="4" w:space="0"/>
            </w:tcBorders>
            <w:vAlign w:val="top"/>
          </w:tcPr>
          <w:p w14:paraId="004D0D05">
            <w:pPr>
              <w:jc w:val="left"/>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8266C8">
            <w:pPr>
              <w:pStyle w:val="12"/>
              <w:jc w:val="center"/>
              <w:rPr>
                <w:rFonts w:hint="default"/>
                <w:highlight w:val="none"/>
              </w:rPr>
            </w:pPr>
            <w:r>
              <w:rPr>
                <w:sz w:val="21"/>
                <w:highlight w:val="none"/>
              </w:rPr>
              <w:t>人员稳定性</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012B40">
            <w:pPr>
              <w:pStyle w:val="12"/>
              <w:rPr>
                <w:rFonts w:hint="eastAsia" w:eastAsiaTheme="minorEastAsia"/>
                <w:highlight w:val="none"/>
                <w:lang w:eastAsia="zh-CN"/>
              </w:rPr>
            </w:pPr>
            <w:r>
              <w:rPr>
                <w:sz w:val="21"/>
                <w:highlight w:val="none"/>
              </w:rPr>
              <w:t>服务期间未经采购人许可</w:t>
            </w:r>
            <w:r>
              <w:rPr>
                <w:sz w:val="21"/>
                <w:highlight w:val="none"/>
                <w:lang w:eastAsia="zh-CN"/>
              </w:rPr>
              <w:t>擅自</w:t>
            </w:r>
            <w:r>
              <w:rPr>
                <w:sz w:val="21"/>
                <w:highlight w:val="none"/>
              </w:rPr>
              <w:t>更换服务团队人员，在季度考核结果中每人次扣1分</w:t>
            </w:r>
            <w:r>
              <w:rPr>
                <w:rFonts w:hint="eastAsia"/>
                <w:sz w:val="21"/>
                <w:highlight w:val="none"/>
                <w:lang w:eastAsia="zh-CN"/>
              </w:rPr>
              <w:t>。</w:t>
            </w:r>
          </w:p>
        </w:tc>
        <w:tc>
          <w:tcPr>
            <w:tcW w:w="840" w:type="dxa"/>
            <w:vMerge w:val="continue"/>
            <w:tcBorders>
              <w:left w:val="nil"/>
              <w:right w:val="single" w:color="000000" w:sz="4" w:space="0"/>
            </w:tcBorders>
            <w:vAlign w:val="center"/>
          </w:tcPr>
          <w:p w14:paraId="11AEC2AC">
            <w:pPr>
              <w:jc w:val="center"/>
              <w:rPr>
                <w:highlight w:val="none"/>
              </w:rPr>
            </w:pPr>
          </w:p>
        </w:tc>
        <w:tc>
          <w:tcPr>
            <w:tcW w:w="765" w:type="dxa"/>
            <w:vMerge w:val="continue"/>
            <w:tcBorders>
              <w:left w:val="nil"/>
              <w:right w:val="single" w:color="000000" w:sz="4" w:space="0"/>
            </w:tcBorders>
            <w:vAlign w:val="top"/>
          </w:tcPr>
          <w:p w14:paraId="4D54299F">
            <w:pPr>
              <w:pStyle w:val="12"/>
              <w:jc w:val="center"/>
              <w:rPr>
                <w:highlight w:val="none"/>
              </w:rPr>
            </w:pPr>
          </w:p>
        </w:tc>
      </w:tr>
      <w:tr w14:paraId="26755C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ACFF7F">
            <w:pPr>
              <w:pStyle w:val="12"/>
              <w:jc w:val="center"/>
              <w:rPr>
                <w:rFonts w:hint="default"/>
                <w:highlight w:val="none"/>
              </w:rPr>
            </w:pPr>
            <w:r>
              <w:rPr>
                <w:sz w:val="21"/>
                <w:highlight w:val="none"/>
              </w:rPr>
              <w:t>3</w:t>
            </w:r>
          </w:p>
        </w:tc>
        <w:tc>
          <w:tcPr>
            <w:tcW w:w="915" w:type="dxa"/>
            <w:vMerge w:val="continue"/>
            <w:tcBorders>
              <w:left w:val="nil"/>
              <w:right w:val="single" w:color="000000" w:sz="4" w:space="0"/>
            </w:tcBorders>
            <w:vAlign w:val="top"/>
          </w:tcPr>
          <w:p w14:paraId="205E286F">
            <w:pPr>
              <w:jc w:val="left"/>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80E55C">
            <w:pPr>
              <w:pStyle w:val="12"/>
              <w:jc w:val="center"/>
              <w:rPr>
                <w:rFonts w:hint="default"/>
                <w:highlight w:val="none"/>
              </w:rPr>
            </w:pPr>
            <w:r>
              <w:rPr>
                <w:sz w:val="21"/>
                <w:highlight w:val="none"/>
              </w:rPr>
              <w:t>人员工作满意度</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18EBF6">
            <w:pPr>
              <w:pStyle w:val="12"/>
              <w:rPr>
                <w:rFonts w:hint="default"/>
                <w:highlight w:val="none"/>
              </w:rPr>
            </w:pPr>
            <w:r>
              <w:rPr>
                <w:sz w:val="21"/>
                <w:highlight w:val="none"/>
              </w:rPr>
              <w:t>客户</w:t>
            </w:r>
            <w:r>
              <w:rPr>
                <w:rFonts w:hint="eastAsia"/>
                <w:sz w:val="21"/>
                <w:highlight w:val="none"/>
                <w:lang w:eastAsia="zh-CN"/>
              </w:rPr>
              <w:t>口头、电话等非正式</w:t>
            </w:r>
            <w:r>
              <w:rPr>
                <w:sz w:val="21"/>
                <w:highlight w:val="none"/>
              </w:rPr>
              <w:t>投诉每次扣</w:t>
            </w:r>
            <w:r>
              <w:rPr>
                <w:rFonts w:hint="eastAsia"/>
                <w:highlight w:val="none"/>
                <w:lang w:val="en-US" w:eastAsia="zh-CN"/>
              </w:rPr>
              <w:t>1</w:t>
            </w:r>
            <w:r>
              <w:rPr>
                <w:sz w:val="21"/>
                <w:highlight w:val="none"/>
              </w:rPr>
              <w:t>分，</w:t>
            </w:r>
            <w:r>
              <w:rPr>
                <w:rFonts w:hint="eastAsia"/>
                <w:sz w:val="21"/>
                <w:highlight w:val="none"/>
                <w:lang w:eastAsia="zh-CN"/>
              </w:rPr>
              <w:t>客户以文件形式发到采购人的投诉</w:t>
            </w:r>
            <w:r>
              <w:rPr>
                <w:sz w:val="21"/>
                <w:highlight w:val="none"/>
              </w:rPr>
              <w:t>每次扣</w:t>
            </w:r>
            <w:r>
              <w:rPr>
                <w:rFonts w:hint="eastAsia"/>
                <w:sz w:val="21"/>
                <w:highlight w:val="none"/>
                <w:lang w:val="en-US" w:eastAsia="zh-CN"/>
              </w:rPr>
              <w:t>2</w:t>
            </w:r>
            <w:r>
              <w:rPr>
                <w:sz w:val="21"/>
                <w:highlight w:val="none"/>
              </w:rPr>
              <w:t>分；</w:t>
            </w:r>
          </w:p>
        </w:tc>
        <w:tc>
          <w:tcPr>
            <w:tcW w:w="840" w:type="dxa"/>
            <w:vMerge w:val="continue"/>
            <w:tcBorders>
              <w:left w:val="nil"/>
              <w:right w:val="single" w:color="000000" w:sz="4" w:space="0"/>
            </w:tcBorders>
            <w:vAlign w:val="center"/>
          </w:tcPr>
          <w:p w14:paraId="4C460652">
            <w:pPr>
              <w:jc w:val="center"/>
              <w:rPr>
                <w:highlight w:val="none"/>
              </w:rPr>
            </w:pPr>
          </w:p>
        </w:tc>
        <w:tc>
          <w:tcPr>
            <w:tcW w:w="765" w:type="dxa"/>
            <w:vMerge w:val="continue"/>
            <w:tcBorders>
              <w:left w:val="nil"/>
              <w:right w:val="single" w:color="000000" w:sz="4" w:space="0"/>
            </w:tcBorders>
            <w:vAlign w:val="top"/>
          </w:tcPr>
          <w:p w14:paraId="201AEAB7">
            <w:pPr>
              <w:pStyle w:val="12"/>
              <w:jc w:val="center"/>
              <w:rPr>
                <w:highlight w:val="none"/>
              </w:rPr>
            </w:pPr>
          </w:p>
        </w:tc>
      </w:tr>
      <w:tr w14:paraId="715319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vMerge w:val="continue"/>
            <w:tcBorders>
              <w:top w:val="nil"/>
              <w:left w:val="single" w:color="000000" w:sz="4" w:space="0"/>
              <w:bottom w:val="single" w:color="000000" w:sz="4" w:space="0"/>
              <w:right w:val="single" w:color="000000" w:sz="4" w:space="0"/>
            </w:tcBorders>
            <w:vAlign w:val="top"/>
          </w:tcPr>
          <w:p w14:paraId="7BD19462">
            <w:pPr>
              <w:rPr>
                <w:highlight w:val="none"/>
              </w:rPr>
            </w:pPr>
          </w:p>
        </w:tc>
        <w:tc>
          <w:tcPr>
            <w:tcW w:w="915" w:type="dxa"/>
            <w:vMerge w:val="continue"/>
            <w:tcBorders>
              <w:left w:val="nil"/>
              <w:right w:val="single" w:color="000000" w:sz="4" w:space="0"/>
            </w:tcBorders>
            <w:vAlign w:val="top"/>
          </w:tcPr>
          <w:p w14:paraId="036F6415">
            <w:pPr>
              <w:jc w:val="left"/>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28539B">
            <w:pPr>
              <w:pStyle w:val="12"/>
              <w:jc w:val="center"/>
              <w:rPr>
                <w:rFonts w:hint="default"/>
                <w:highlight w:val="none"/>
              </w:rPr>
            </w:pPr>
            <w:r>
              <w:rPr>
                <w:sz w:val="21"/>
                <w:highlight w:val="none"/>
              </w:rPr>
              <w:t>考勤管理</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DD6F0A">
            <w:pPr>
              <w:pStyle w:val="12"/>
              <w:rPr>
                <w:rFonts w:hint="default"/>
                <w:highlight w:val="none"/>
              </w:rPr>
            </w:pPr>
            <w:r>
              <w:rPr>
                <w:sz w:val="21"/>
                <w:highlight w:val="none"/>
              </w:rPr>
              <w:t>一个月内出现</w:t>
            </w:r>
            <w:r>
              <w:rPr>
                <w:rFonts w:hint="eastAsia"/>
                <w:sz w:val="21"/>
                <w:highlight w:val="none"/>
                <w:lang w:eastAsia="zh-CN"/>
              </w:rPr>
              <w:t>5</w:t>
            </w:r>
            <w:r>
              <w:rPr>
                <w:sz w:val="21"/>
                <w:highlight w:val="none"/>
              </w:rPr>
              <w:t>人/次以上未打卡或者迟到、早退的，扣1分；出现10人/次未打卡或者迟到、早退的，扣3分；出现共</w:t>
            </w:r>
            <w:r>
              <w:rPr>
                <w:rFonts w:hint="eastAsia"/>
                <w:sz w:val="21"/>
                <w:highlight w:val="none"/>
                <w:lang w:eastAsia="zh-CN"/>
              </w:rPr>
              <w:t>1</w:t>
            </w:r>
            <w:r>
              <w:rPr>
                <w:rFonts w:hint="eastAsia"/>
                <w:sz w:val="21"/>
                <w:highlight w:val="none"/>
                <w:lang w:val="en-US" w:eastAsia="zh-CN"/>
              </w:rPr>
              <w:t>5</w:t>
            </w:r>
            <w:r>
              <w:rPr>
                <w:sz w:val="21"/>
                <w:highlight w:val="none"/>
              </w:rPr>
              <w:t>人/</w:t>
            </w:r>
            <w:r>
              <w:rPr>
                <w:rFonts w:hint="eastAsia"/>
                <w:sz w:val="21"/>
                <w:highlight w:val="none"/>
                <w:lang w:eastAsia="zh-CN"/>
              </w:rPr>
              <w:t>次</w:t>
            </w:r>
            <w:r>
              <w:rPr>
                <w:sz w:val="21"/>
                <w:highlight w:val="none"/>
              </w:rPr>
              <w:t>未打卡或者迟到、早退，扣5分。</w:t>
            </w:r>
          </w:p>
        </w:tc>
        <w:tc>
          <w:tcPr>
            <w:tcW w:w="840" w:type="dxa"/>
            <w:vMerge w:val="continue"/>
            <w:tcBorders>
              <w:left w:val="nil"/>
              <w:right w:val="single" w:color="000000" w:sz="4" w:space="0"/>
            </w:tcBorders>
            <w:vAlign w:val="center"/>
          </w:tcPr>
          <w:p w14:paraId="7F341E6B">
            <w:pPr>
              <w:jc w:val="center"/>
              <w:rPr>
                <w:highlight w:val="none"/>
              </w:rPr>
            </w:pPr>
          </w:p>
        </w:tc>
        <w:tc>
          <w:tcPr>
            <w:tcW w:w="765" w:type="dxa"/>
            <w:vMerge w:val="continue"/>
            <w:tcBorders>
              <w:left w:val="nil"/>
              <w:right w:val="single" w:color="000000" w:sz="4" w:space="0"/>
            </w:tcBorders>
            <w:vAlign w:val="top"/>
          </w:tcPr>
          <w:p w14:paraId="45CD159B">
            <w:pPr>
              <w:rPr>
                <w:highlight w:val="none"/>
              </w:rPr>
            </w:pPr>
          </w:p>
        </w:tc>
      </w:tr>
      <w:tr w14:paraId="6B660B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3C7CE2">
            <w:pPr>
              <w:pStyle w:val="12"/>
              <w:jc w:val="center"/>
              <w:rPr>
                <w:rFonts w:hint="default"/>
                <w:highlight w:val="none"/>
              </w:rPr>
            </w:pPr>
            <w:r>
              <w:rPr>
                <w:sz w:val="21"/>
                <w:highlight w:val="none"/>
              </w:rPr>
              <w:t>4</w:t>
            </w:r>
          </w:p>
        </w:tc>
        <w:tc>
          <w:tcPr>
            <w:tcW w:w="915" w:type="dxa"/>
            <w:vMerge w:val="continue"/>
            <w:tcBorders>
              <w:left w:val="nil"/>
              <w:right w:val="single" w:color="000000" w:sz="4" w:space="0"/>
            </w:tcBorders>
            <w:vAlign w:val="top"/>
          </w:tcPr>
          <w:p w14:paraId="39E89EA0">
            <w:pPr>
              <w:jc w:val="left"/>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033B6E">
            <w:pPr>
              <w:pStyle w:val="12"/>
              <w:jc w:val="center"/>
              <w:rPr>
                <w:rFonts w:hint="default"/>
                <w:highlight w:val="none"/>
              </w:rPr>
            </w:pPr>
            <w:r>
              <w:rPr>
                <w:sz w:val="21"/>
                <w:highlight w:val="none"/>
              </w:rPr>
              <w:t>人员业务水平</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64A08B">
            <w:pPr>
              <w:pStyle w:val="12"/>
              <w:rPr>
                <w:rFonts w:hint="default"/>
                <w:highlight w:val="none"/>
              </w:rPr>
            </w:pPr>
            <w:r>
              <w:rPr>
                <w:rFonts w:hint="eastAsia"/>
                <w:sz w:val="21"/>
                <w:highlight w:val="none"/>
                <w:lang w:eastAsia="zh-CN"/>
              </w:rPr>
              <w:t>运维人员在运维过程中</w:t>
            </w:r>
            <w:r>
              <w:rPr>
                <w:sz w:val="21"/>
                <w:highlight w:val="none"/>
              </w:rPr>
              <w:t>出现误操作事件每人次扣2分；</w:t>
            </w:r>
          </w:p>
        </w:tc>
        <w:tc>
          <w:tcPr>
            <w:tcW w:w="840" w:type="dxa"/>
            <w:vMerge w:val="continue"/>
            <w:tcBorders>
              <w:left w:val="nil"/>
              <w:right w:val="single" w:color="000000" w:sz="4" w:space="0"/>
            </w:tcBorders>
            <w:vAlign w:val="center"/>
          </w:tcPr>
          <w:p w14:paraId="0021C9C1">
            <w:pPr>
              <w:jc w:val="center"/>
              <w:rPr>
                <w:highlight w:val="none"/>
              </w:rPr>
            </w:pPr>
          </w:p>
        </w:tc>
        <w:tc>
          <w:tcPr>
            <w:tcW w:w="765" w:type="dxa"/>
            <w:vMerge w:val="continue"/>
            <w:tcBorders>
              <w:left w:val="nil"/>
              <w:right w:val="single" w:color="000000" w:sz="4" w:space="0"/>
            </w:tcBorders>
            <w:vAlign w:val="top"/>
          </w:tcPr>
          <w:p w14:paraId="71A5B573">
            <w:pPr>
              <w:pStyle w:val="12"/>
              <w:jc w:val="center"/>
              <w:rPr>
                <w:highlight w:val="none"/>
              </w:rPr>
            </w:pPr>
          </w:p>
        </w:tc>
      </w:tr>
      <w:tr w14:paraId="1984E3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50A860">
            <w:pPr>
              <w:pStyle w:val="12"/>
              <w:jc w:val="center"/>
              <w:rPr>
                <w:rFonts w:hint="default"/>
                <w:highlight w:val="none"/>
              </w:rPr>
            </w:pPr>
            <w:r>
              <w:rPr>
                <w:sz w:val="21"/>
                <w:highlight w:val="none"/>
              </w:rPr>
              <w:t>5</w:t>
            </w:r>
          </w:p>
        </w:tc>
        <w:tc>
          <w:tcPr>
            <w:tcW w:w="915" w:type="dxa"/>
            <w:vMerge w:val="continue"/>
            <w:tcBorders>
              <w:left w:val="nil"/>
              <w:bottom w:val="single" w:color="000000" w:sz="4" w:space="0"/>
              <w:right w:val="single" w:color="000000" w:sz="4" w:space="0"/>
            </w:tcBorders>
            <w:vAlign w:val="top"/>
          </w:tcPr>
          <w:p w14:paraId="4ADF0BA1">
            <w:pPr>
              <w:jc w:val="left"/>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0A88E8">
            <w:pPr>
              <w:pStyle w:val="12"/>
              <w:jc w:val="both"/>
              <w:rPr>
                <w:rFonts w:hint="default"/>
                <w:sz w:val="21"/>
                <w:highlight w:val="none"/>
                <w:lang w:val="en-US" w:eastAsia="zh-CN"/>
              </w:rPr>
            </w:pPr>
            <w:r>
              <w:rPr>
                <w:sz w:val="21"/>
                <w:highlight w:val="none"/>
                <w:lang w:eastAsia="zh-CN"/>
              </w:rPr>
              <w:t>人员</w:t>
            </w:r>
            <w:r>
              <w:rPr>
                <w:rFonts w:hint="eastAsia"/>
                <w:sz w:val="21"/>
                <w:highlight w:val="none"/>
                <w:lang w:val="en-US" w:eastAsia="zh-CN"/>
              </w:rPr>
              <w:t>着装形象</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F062D1">
            <w:pPr>
              <w:pStyle w:val="12"/>
              <w:rPr>
                <w:rFonts w:hint="default"/>
                <w:sz w:val="21"/>
                <w:highlight w:val="none"/>
                <w:lang w:val="en-US" w:eastAsia="zh-CN"/>
              </w:rPr>
            </w:pPr>
            <w:r>
              <w:rPr>
                <w:sz w:val="21"/>
                <w:highlight w:val="none"/>
                <w:lang w:eastAsia="zh-CN"/>
              </w:rPr>
              <w:t>正常上班时间内</w:t>
            </w:r>
            <w:r>
              <w:rPr>
                <w:rFonts w:hint="eastAsia"/>
                <w:sz w:val="21"/>
                <w:highlight w:val="none"/>
                <w:lang w:val="en-US" w:eastAsia="zh-CN"/>
              </w:rPr>
              <w:t>不按规定着装，每人次</w:t>
            </w:r>
            <w:r>
              <w:rPr>
                <w:sz w:val="21"/>
                <w:highlight w:val="none"/>
                <w:lang w:eastAsia="zh-CN"/>
              </w:rPr>
              <w:t>扣2分；男运维人员留长头发或留长胡子扣2分/次</w:t>
            </w:r>
            <w:r>
              <w:rPr>
                <w:rStyle w:val="11"/>
                <w:rFonts w:hint="eastAsia" w:ascii="Times New Roman" w:hAnsi="Times New Roman" w:eastAsia="宋体" w:cs="Times New Roman"/>
                <w:kern w:val="2"/>
                <w:highlight w:val="none"/>
                <w:lang w:val="en-US" w:eastAsia="zh-CN"/>
              </w:rPr>
              <w:t>。</w:t>
            </w:r>
          </w:p>
        </w:tc>
        <w:tc>
          <w:tcPr>
            <w:tcW w:w="840" w:type="dxa"/>
            <w:vMerge w:val="continue"/>
            <w:tcBorders>
              <w:left w:val="nil"/>
              <w:bottom w:val="single" w:color="000000" w:sz="4" w:space="0"/>
              <w:right w:val="single" w:color="000000" w:sz="4" w:space="0"/>
            </w:tcBorders>
            <w:vAlign w:val="center"/>
          </w:tcPr>
          <w:p w14:paraId="3B9E764A">
            <w:pPr>
              <w:jc w:val="center"/>
              <w:rPr>
                <w:highlight w:val="none"/>
              </w:rPr>
            </w:pPr>
          </w:p>
        </w:tc>
        <w:tc>
          <w:tcPr>
            <w:tcW w:w="765" w:type="dxa"/>
            <w:vMerge w:val="continue"/>
            <w:tcBorders>
              <w:left w:val="nil"/>
              <w:bottom w:val="single" w:color="000000" w:sz="4" w:space="0"/>
              <w:right w:val="single" w:color="000000" w:sz="4" w:space="0"/>
            </w:tcBorders>
            <w:vAlign w:val="top"/>
          </w:tcPr>
          <w:p w14:paraId="3A58AABC">
            <w:pPr>
              <w:pStyle w:val="12"/>
              <w:jc w:val="center"/>
              <w:rPr>
                <w:highlight w:val="none"/>
              </w:rPr>
            </w:pPr>
          </w:p>
        </w:tc>
      </w:tr>
      <w:tr w14:paraId="6E0DE8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AE95BA">
            <w:pPr>
              <w:pStyle w:val="12"/>
              <w:jc w:val="center"/>
              <w:rPr>
                <w:rFonts w:hint="default"/>
                <w:highlight w:val="none"/>
              </w:rPr>
            </w:pPr>
            <w:r>
              <w:rPr>
                <w:sz w:val="21"/>
                <w:highlight w:val="none"/>
              </w:rPr>
              <w:t>6</w:t>
            </w:r>
          </w:p>
        </w:tc>
        <w:tc>
          <w:tcPr>
            <w:tcW w:w="91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52F0F3D">
            <w:pPr>
              <w:pStyle w:val="12"/>
              <w:jc w:val="center"/>
              <w:rPr>
                <w:rFonts w:hint="default"/>
                <w:highlight w:val="none"/>
              </w:rPr>
            </w:pPr>
            <w:r>
              <w:rPr>
                <w:sz w:val="21"/>
                <w:highlight w:val="none"/>
              </w:rPr>
              <w:t>日常维护</w:t>
            </w: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B62897">
            <w:pPr>
              <w:pStyle w:val="12"/>
              <w:jc w:val="center"/>
              <w:rPr>
                <w:rFonts w:hint="default"/>
                <w:highlight w:val="none"/>
              </w:rPr>
            </w:pPr>
            <w:r>
              <w:rPr>
                <w:sz w:val="21"/>
                <w:highlight w:val="none"/>
              </w:rPr>
              <w:t>巡检和应急支持</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CAA472">
            <w:pPr>
              <w:pStyle w:val="12"/>
              <w:rPr>
                <w:rFonts w:hint="default"/>
                <w:highlight w:val="none"/>
              </w:rPr>
            </w:pPr>
            <w:r>
              <w:rPr>
                <w:sz w:val="21"/>
                <w:highlight w:val="none"/>
              </w:rPr>
              <w:t>未按时进行巡检的，扣</w:t>
            </w:r>
            <w:r>
              <w:rPr>
                <w:rFonts w:hint="eastAsia"/>
                <w:sz w:val="21"/>
                <w:highlight w:val="none"/>
                <w:lang w:val="en-US" w:eastAsia="zh-CN"/>
              </w:rPr>
              <w:t>1</w:t>
            </w:r>
            <w:r>
              <w:rPr>
                <w:sz w:val="21"/>
                <w:highlight w:val="none"/>
              </w:rPr>
              <w:t>分/次；未</w:t>
            </w:r>
            <w:r>
              <w:rPr>
                <w:rFonts w:hint="eastAsia"/>
                <w:sz w:val="21"/>
                <w:highlight w:val="none"/>
                <w:lang w:eastAsia="zh-CN"/>
              </w:rPr>
              <w:t>配合特殊时间或重大节假日的应急值守工作的，</w:t>
            </w:r>
            <w:r>
              <w:rPr>
                <w:sz w:val="21"/>
                <w:highlight w:val="none"/>
              </w:rPr>
              <w:t>扣</w:t>
            </w:r>
            <w:r>
              <w:rPr>
                <w:rFonts w:hint="eastAsia"/>
                <w:sz w:val="21"/>
                <w:highlight w:val="none"/>
                <w:lang w:val="en-US" w:eastAsia="zh-CN"/>
              </w:rPr>
              <w:t>2</w:t>
            </w:r>
            <w:r>
              <w:rPr>
                <w:sz w:val="21"/>
                <w:highlight w:val="none"/>
              </w:rPr>
              <w:t>分/次；</w:t>
            </w:r>
          </w:p>
        </w:tc>
        <w:tc>
          <w:tcPr>
            <w:tcW w:w="840"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14:paraId="3EDF6332">
            <w:pPr>
              <w:pStyle w:val="12"/>
              <w:jc w:val="center"/>
              <w:rPr>
                <w:rFonts w:hint="default"/>
                <w:highlight w:val="none"/>
                <w:lang w:eastAsia="zh-CN"/>
              </w:rPr>
            </w:pPr>
            <w:r>
              <w:rPr>
                <w:sz w:val="21"/>
                <w:highlight w:val="none"/>
                <w:lang w:eastAsia="zh-CN"/>
              </w:rPr>
              <w:t>16</w:t>
            </w:r>
          </w:p>
        </w:tc>
        <w:tc>
          <w:tcPr>
            <w:tcW w:w="765" w:type="dxa"/>
            <w:vMerge w:val="restart"/>
            <w:tcBorders>
              <w:top w:val="nil"/>
              <w:left w:val="nil"/>
              <w:right w:val="single" w:color="000000" w:sz="4" w:space="0"/>
            </w:tcBorders>
            <w:tcMar>
              <w:top w:w="0" w:type="dxa"/>
              <w:left w:w="105" w:type="dxa"/>
              <w:bottom w:w="0" w:type="dxa"/>
              <w:right w:w="105" w:type="dxa"/>
            </w:tcMar>
            <w:vAlign w:val="top"/>
          </w:tcPr>
          <w:p w14:paraId="47173F8E">
            <w:pPr>
              <w:pStyle w:val="12"/>
              <w:jc w:val="center"/>
              <w:rPr>
                <w:highlight w:val="none"/>
              </w:rPr>
            </w:pPr>
          </w:p>
        </w:tc>
      </w:tr>
      <w:tr w14:paraId="34E9B5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B79A2A">
            <w:pPr>
              <w:pStyle w:val="12"/>
              <w:jc w:val="center"/>
              <w:rPr>
                <w:rFonts w:hint="default"/>
                <w:highlight w:val="none"/>
              </w:rPr>
            </w:pPr>
            <w:r>
              <w:rPr>
                <w:sz w:val="21"/>
                <w:highlight w:val="none"/>
              </w:rPr>
              <w:t>7</w:t>
            </w:r>
          </w:p>
        </w:tc>
        <w:tc>
          <w:tcPr>
            <w:tcW w:w="915" w:type="dxa"/>
            <w:vMerge w:val="continue"/>
            <w:tcBorders>
              <w:top w:val="nil"/>
              <w:left w:val="nil"/>
              <w:bottom w:val="single" w:color="000000" w:sz="4" w:space="0"/>
              <w:right w:val="single" w:color="000000" w:sz="4" w:space="0"/>
            </w:tcBorders>
            <w:vAlign w:val="top"/>
          </w:tcPr>
          <w:p w14:paraId="697DF429">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BF86E4">
            <w:pPr>
              <w:pStyle w:val="12"/>
              <w:jc w:val="center"/>
              <w:rPr>
                <w:rFonts w:hint="default"/>
                <w:highlight w:val="none"/>
              </w:rPr>
            </w:pPr>
            <w:r>
              <w:rPr>
                <w:sz w:val="21"/>
                <w:highlight w:val="none"/>
              </w:rPr>
              <w:t>报告提交情况</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263DE3">
            <w:pPr>
              <w:pStyle w:val="12"/>
              <w:rPr>
                <w:rFonts w:hint="default"/>
                <w:highlight w:val="none"/>
              </w:rPr>
            </w:pPr>
            <w:r>
              <w:rPr>
                <w:rFonts w:hint="eastAsia"/>
                <w:sz w:val="21"/>
                <w:highlight w:val="none"/>
                <w:lang w:val="en-US" w:eastAsia="zh-CN"/>
              </w:rPr>
              <w:t>未</w:t>
            </w:r>
            <w:r>
              <w:rPr>
                <w:sz w:val="21"/>
                <w:highlight w:val="none"/>
              </w:rPr>
              <w:t>按要求准时提交月报、季度报告、故障报告等相关报告。</w:t>
            </w:r>
            <w:r>
              <w:rPr>
                <w:rFonts w:hint="eastAsia"/>
                <w:sz w:val="21"/>
                <w:highlight w:val="none"/>
                <w:lang w:val="en-US" w:eastAsia="zh-CN"/>
              </w:rPr>
              <w:t>超时</w:t>
            </w:r>
            <w:r>
              <w:rPr>
                <w:sz w:val="21"/>
                <w:highlight w:val="none"/>
              </w:rPr>
              <w:t>一次扣</w:t>
            </w:r>
            <w:r>
              <w:rPr>
                <w:rFonts w:hint="eastAsia"/>
                <w:sz w:val="21"/>
                <w:highlight w:val="none"/>
                <w:lang w:val="en-US" w:eastAsia="zh-CN"/>
              </w:rPr>
              <w:t>2</w:t>
            </w:r>
            <w:r>
              <w:rPr>
                <w:sz w:val="21"/>
                <w:highlight w:val="none"/>
              </w:rPr>
              <w:t>分；</w:t>
            </w:r>
          </w:p>
        </w:tc>
        <w:tc>
          <w:tcPr>
            <w:tcW w:w="840" w:type="dxa"/>
            <w:vMerge w:val="continue"/>
            <w:tcBorders>
              <w:top w:val="nil"/>
              <w:left w:val="nil"/>
              <w:bottom w:val="single" w:color="000000" w:sz="4" w:space="0"/>
              <w:right w:val="single" w:color="000000" w:sz="4" w:space="0"/>
            </w:tcBorders>
            <w:vAlign w:val="center"/>
          </w:tcPr>
          <w:p w14:paraId="781D1F8E">
            <w:pPr>
              <w:jc w:val="center"/>
              <w:rPr>
                <w:highlight w:val="none"/>
              </w:rPr>
            </w:pPr>
          </w:p>
        </w:tc>
        <w:tc>
          <w:tcPr>
            <w:tcW w:w="765" w:type="dxa"/>
            <w:vMerge w:val="continue"/>
            <w:tcBorders>
              <w:left w:val="nil"/>
              <w:right w:val="single" w:color="000000" w:sz="4" w:space="0"/>
            </w:tcBorders>
            <w:vAlign w:val="top"/>
          </w:tcPr>
          <w:p w14:paraId="0E161957">
            <w:pPr>
              <w:pStyle w:val="12"/>
              <w:jc w:val="center"/>
              <w:rPr>
                <w:highlight w:val="none"/>
              </w:rPr>
            </w:pPr>
          </w:p>
        </w:tc>
      </w:tr>
      <w:tr w14:paraId="2986BB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BB9581">
            <w:pPr>
              <w:pStyle w:val="12"/>
              <w:jc w:val="center"/>
              <w:rPr>
                <w:rFonts w:hint="default"/>
                <w:highlight w:val="none"/>
              </w:rPr>
            </w:pPr>
            <w:r>
              <w:rPr>
                <w:sz w:val="21"/>
                <w:highlight w:val="none"/>
              </w:rPr>
              <w:t>8</w:t>
            </w:r>
          </w:p>
        </w:tc>
        <w:tc>
          <w:tcPr>
            <w:tcW w:w="915" w:type="dxa"/>
            <w:vMerge w:val="continue"/>
            <w:tcBorders>
              <w:top w:val="nil"/>
              <w:left w:val="nil"/>
              <w:bottom w:val="single" w:color="000000" w:sz="4" w:space="0"/>
              <w:right w:val="single" w:color="000000" w:sz="4" w:space="0"/>
            </w:tcBorders>
            <w:vAlign w:val="top"/>
          </w:tcPr>
          <w:p w14:paraId="60313BD5">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E95666">
            <w:pPr>
              <w:pStyle w:val="12"/>
              <w:jc w:val="center"/>
              <w:rPr>
                <w:rFonts w:hint="default"/>
                <w:highlight w:val="none"/>
              </w:rPr>
            </w:pPr>
            <w:r>
              <w:rPr>
                <w:sz w:val="21"/>
                <w:highlight w:val="none"/>
              </w:rPr>
              <w:t>软硬件升级</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CE1353">
            <w:pPr>
              <w:pStyle w:val="12"/>
              <w:rPr>
                <w:rFonts w:hint="default"/>
                <w:highlight w:val="none"/>
              </w:rPr>
            </w:pPr>
            <w:r>
              <w:rPr>
                <w:sz w:val="21"/>
                <w:highlight w:val="none"/>
              </w:rPr>
              <w:t>软硬件升级前没有事先向采购人申请或沟通而造成不良影响的，扣1分/次；</w:t>
            </w:r>
          </w:p>
        </w:tc>
        <w:tc>
          <w:tcPr>
            <w:tcW w:w="840" w:type="dxa"/>
            <w:vMerge w:val="continue"/>
            <w:tcBorders>
              <w:top w:val="nil"/>
              <w:left w:val="nil"/>
              <w:bottom w:val="single" w:color="000000" w:sz="4" w:space="0"/>
              <w:right w:val="single" w:color="000000" w:sz="4" w:space="0"/>
            </w:tcBorders>
            <w:vAlign w:val="center"/>
          </w:tcPr>
          <w:p w14:paraId="013E90DA">
            <w:pPr>
              <w:jc w:val="center"/>
              <w:rPr>
                <w:highlight w:val="none"/>
              </w:rPr>
            </w:pPr>
          </w:p>
        </w:tc>
        <w:tc>
          <w:tcPr>
            <w:tcW w:w="765" w:type="dxa"/>
            <w:vMerge w:val="continue"/>
            <w:tcBorders>
              <w:left w:val="nil"/>
              <w:right w:val="single" w:color="000000" w:sz="4" w:space="0"/>
            </w:tcBorders>
            <w:vAlign w:val="top"/>
          </w:tcPr>
          <w:p w14:paraId="659D6C65">
            <w:pPr>
              <w:pStyle w:val="12"/>
              <w:jc w:val="center"/>
              <w:rPr>
                <w:highlight w:val="none"/>
              </w:rPr>
            </w:pPr>
          </w:p>
        </w:tc>
      </w:tr>
      <w:tr w14:paraId="45727D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697081">
            <w:pPr>
              <w:pStyle w:val="12"/>
              <w:jc w:val="center"/>
              <w:rPr>
                <w:rFonts w:hint="default"/>
                <w:highlight w:val="none"/>
              </w:rPr>
            </w:pPr>
            <w:r>
              <w:rPr>
                <w:sz w:val="21"/>
                <w:highlight w:val="none"/>
              </w:rPr>
              <w:t>9</w:t>
            </w:r>
          </w:p>
        </w:tc>
        <w:tc>
          <w:tcPr>
            <w:tcW w:w="915" w:type="dxa"/>
            <w:vMerge w:val="continue"/>
            <w:tcBorders>
              <w:top w:val="nil"/>
              <w:left w:val="nil"/>
              <w:bottom w:val="single" w:color="000000" w:sz="4" w:space="0"/>
              <w:right w:val="single" w:color="000000" w:sz="4" w:space="0"/>
            </w:tcBorders>
            <w:vAlign w:val="top"/>
          </w:tcPr>
          <w:p w14:paraId="5B9E4D26">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7D2DD6">
            <w:pPr>
              <w:pStyle w:val="12"/>
              <w:jc w:val="center"/>
              <w:rPr>
                <w:rFonts w:hint="default"/>
                <w:highlight w:val="none"/>
              </w:rPr>
            </w:pPr>
            <w:r>
              <w:rPr>
                <w:sz w:val="21"/>
                <w:highlight w:val="none"/>
              </w:rPr>
              <w:t>故障处理</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B915A7">
            <w:pPr>
              <w:pStyle w:val="12"/>
              <w:rPr>
                <w:rFonts w:hint="default"/>
                <w:highlight w:val="none"/>
              </w:rPr>
            </w:pPr>
            <w:r>
              <w:rPr>
                <w:sz w:val="21"/>
                <w:highlight w:val="none"/>
              </w:rPr>
              <w:t>出现故障后没按故障正确的处理流程操作导致重大损失和造成恶劣影响的，扣5分/次；</w:t>
            </w:r>
          </w:p>
        </w:tc>
        <w:tc>
          <w:tcPr>
            <w:tcW w:w="840" w:type="dxa"/>
            <w:vMerge w:val="continue"/>
            <w:tcBorders>
              <w:top w:val="nil"/>
              <w:left w:val="nil"/>
              <w:bottom w:val="single" w:color="000000" w:sz="4" w:space="0"/>
              <w:right w:val="single" w:color="000000" w:sz="4" w:space="0"/>
            </w:tcBorders>
            <w:vAlign w:val="center"/>
          </w:tcPr>
          <w:p w14:paraId="46788DD9">
            <w:pPr>
              <w:jc w:val="center"/>
              <w:rPr>
                <w:highlight w:val="none"/>
              </w:rPr>
            </w:pPr>
          </w:p>
        </w:tc>
        <w:tc>
          <w:tcPr>
            <w:tcW w:w="765" w:type="dxa"/>
            <w:vMerge w:val="continue"/>
            <w:tcBorders>
              <w:left w:val="nil"/>
              <w:right w:val="single" w:color="000000" w:sz="4" w:space="0"/>
            </w:tcBorders>
            <w:vAlign w:val="top"/>
          </w:tcPr>
          <w:p w14:paraId="32C112FC">
            <w:pPr>
              <w:pStyle w:val="12"/>
              <w:jc w:val="center"/>
              <w:rPr>
                <w:highlight w:val="none"/>
              </w:rPr>
            </w:pPr>
          </w:p>
        </w:tc>
      </w:tr>
      <w:tr w14:paraId="376641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C323EE">
            <w:pPr>
              <w:pStyle w:val="12"/>
              <w:jc w:val="center"/>
              <w:rPr>
                <w:rFonts w:hint="default"/>
                <w:highlight w:val="none"/>
              </w:rPr>
            </w:pPr>
            <w:r>
              <w:rPr>
                <w:sz w:val="21"/>
                <w:highlight w:val="none"/>
              </w:rPr>
              <w:t>10</w:t>
            </w:r>
          </w:p>
        </w:tc>
        <w:tc>
          <w:tcPr>
            <w:tcW w:w="915" w:type="dxa"/>
            <w:vMerge w:val="continue"/>
            <w:tcBorders>
              <w:top w:val="nil"/>
              <w:left w:val="nil"/>
              <w:bottom w:val="single" w:color="000000" w:sz="4" w:space="0"/>
              <w:right w:val="single" w:color="000000" w:sz="4" w:space="0"/>
            </w:tcBorders>
            <w:vAlign w:val="top"/>
          </w:tcPr>
          <w:p w14:paraId="5F9C8389">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8E55E9">
            <w:pPr>
              <w:pStyle w:val="12"/>
              <w:jc w:val="center"/>
              <w:rPr>
                <w:rFonts w:hint="default"/>
                <w:highlight w:val="none"/>
              </w:rPr>
            </w:pPr>
            <w:r>
              <w:rPr>
                <w:sz w:val="21"/>
                <w:highlight w:val="none"/>
              </w:rPr>
              <w:t>安全管理</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CAC114">
            <w:pPr>
              <w:pStyle w:val="12"/>
              <w:rPr>
                <w:rFonts w:hint="default"/>
                <w:highlight w:val="none"/>
              </w:rPr>
            </w:pPr>
            <w:r>
              <w:rPr>
                <w:rFonts w:hint="eastAsia" w:ascii="宋体" w:hAnsi="宋体" w:eastAsia="宋体" w:cs="宋体"/>
                <w:sz w:val="21"/>
                <w:szCs w:val="21"/>
                <w:highlight w:val="none"/>
                <w:lang w:val="en-US" w:eastAsia="zh-CN"/>
              </w:rPr>
              <w:t>定期对相关运维设备进行升级或打补丁等工作，没有及时安排升级或者打补丁，导致出现安全事件的，每次扣10分</w:t>
            </w:r>
            <w:r>
              <w:rPr>
                <w:rFonts w:hint="eastAsia" w:ascii="宋体" w:hAnsi="宋体" w:eastAsia="宋体" w:cs="宋体"/>
                <w:sz w:val="21"/>
                <w:szCs w:val="21"/>
                <w:highlight w:val="none"/>
                <w:lang w:eastAsia="zh-CN"/>
              </w:rPr>
              <w:t>。</w:t>
            </w:r>
          </w:p>
        </w:tc>
        <w:tc>
          <w:tcPr>
            <w:tcW w:w="840" w:type="dxa"/>
            <w:vMerge w:val="continue"/>
            <w:tcBorders>
              <w:top w:val="nil"/>
              <w:left w:val="nil"/>
              <w:bottom w:val="single" w:color="000000" w:sz="4" w:space="0"/>
              <w:right w:val="single" w:color="000000" w:sz="4" w:space="0"/>
            </w:tcBorders>
            <w:vAlign w:val="center"/>
          </w:tcPr>
          <w:p w14:paraId="3BDC6FA0">
            <w:pPr>
              <w:jc w:val="center"/>
              <w:rPr>
                <w:highlight w:val="none"/>
              </w:rPr>
            </w:pPr>
          </w:p>
        </w:tc>
        <w:tc>
          <w:tcPr>
            <w:tcW w:w="765" w:type="dxa"/>
            <w:vMerge w:val="continue"/>
            <w:tcBorders>
              <w:left w:val="nil"/>
              <w:right w:val="single" w:color="000000" w:sz="4" w:space="0"/>
            </w:tcBorders>
            <w:vAlign w:val="top"/>
          </w:tcPr>
          <w:p w14:paraId="7A2266AE">
            <w:pPr>
              <w:pStyle w:val="12"/>
              <w:jc w:val="center"/>
              <w:rPr>
                <w:highlight w:val="none"/>
              </w:rPr>
            </w:pPr>
          </w:p>
        </w:tc>
      </w:tr>
      <w:tr w14:paraId="3DEE13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083C75">
            <w:pPr>
              <w:pStyle w:val="12"/>
              <w:jc w:val="center"/>
              <w:rPr>
                <w:rFonts w:hint="default"/>
                <w:highlight w:val="none"/>
              </w:rPr>
            </w:pPr>
            <w:r>
              <w:rPr>
                <w:sz w:val="21"/>
                <w:highlight w:val="none"/>
              </w:rPr>
              <w:t>11</w:t>
            </w:r>
          </w:p>
        </w:tc>
        <w:tc>
          <w:tcPr>
            <w:tcW w:w="915" w:type="dxa"/>
            <w:vMerge w:val="continue"/>
            <w:tcBorders>
              <w:top w:val="nil"/>
              <w:left w:val="nil"/>
              <w:bottom w:val="single" w:color="000000" w:sz="4" w:space="0"/>
              <w:right w:val="single" w:color="000000" w:sz="4" w:space="0"/>
            </w:tcBorders>
            <w:vAlign w:val="top"/>
          </w:tcPr>
          <w:p w14:paraId="6FBA1C05">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BAF65A">
            <w:pPr>
              <w:pStyle w:val="12"/>
              <w:jc w:val="center"/>
              <w:rPr>
                <w:rFonts w:hint="default"/>
                <w:highlight w:val="none"/>
              </w:rPr>
            </w:pPr>
            <w:r>
              <w:rPr>
                <w:sz w:val="21"/>
                <w:highlight w:val="none"/>
              </w:rPr>
              <w:t>任务管理</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811B03">
            <w:pPr>
              <w:pStyle w:val="12"/>
              <w:rPr>
                <w:rFonts w:hint="default" w:eastAsiaTheme="minorEastAsia"/>
                <w:highlight w:val="none"/>
                <w:lang w:val="en-US" w:eastAsia="zh-CN"/>
              </w:rPr>
            </w:pPr>
            <w:r>
              <w:rPr>
                <w:rFonts w:hint="eastAsia" w:ascii="宋体" w:hAnsi="宋体" w:eastAsia="宋体" w:cs="宋体"/>
                <w:sz w:val="21"/>
                <w:szCs w:val="21"/>
                <w:highlight w:val="none"/>
                <w:lang w:val="en-US" w:eastAsia="zh-CN"/>
              </w:rPr>
              <w:t>接到运维任务起30分钟内未</w:t>
            </w:r>
            <w:r>
              <w:rPr>
                <w:rFonts w:ascii="宋体" w:hAnsi="宋体" w:eastAsia="宋体" w:cs="宋体"/>
                <w:sz w:val="21"/>
                <w:szCs w:val="21"/>
                <w:highlight w:val="none"/>
                <w:lang w:eastAsia="zh-CN"/>
              </w:rPr>
              <w:t>到达</w:t>
            </w:r>
            <w:r>
              <w:rPr>
                <w:rFonts w:ascii="宋体" w:hAnsi="宋体" w:eastAsia="宋体" w:cs="宋体"/>
                <w:sz w:val="21"/>
                <w:szCs w:val="21"/>
                <w:highlight w:val="none"/>
              </w:rPr>
              <w:t>维护</w:t>
            </w:r>
            <w:r>
              <w:rPr>
                <w:rFonts w:ascii="宋体" w:hAnsi="宋体" w:eastAsia="宋体" w:cs="宋体"/>
                <w:sz w:val="21"/>
                <w:szCs w:val="21"/>
                <w:highlight w:val="none"/>
                <w:lang w:eastAsia="zh-CN"/>
              </w:rPr>
              <w:t>现场</w:t>
            </w:r>
            <w:r>
              <w:rPr>
                <w:rFonts w:ascii="宋体" w:hAnsi="宋体" w:eastAsia="宋体" w:cs="宋体"/>
                <w:sz w:val="21"/>
                <w:szCs w:val="21"/>
                <w:highlight w:val="none"/>
              </w:rPr>
              <w:t>的，扣</w:t>
            </w:r>
            <w:r>
              <w:rPr>
                <w:rFonts w:hint="eastAsia" w:ascii="宋体" w:hAnsi="宋体" w:eastAsia="宋体" w:cs="宋体"/>
                <w:sz w:val="21"/>
                <w:szCs w:val="21"/>
                <w:highlight w:val="none"/>
                <w:lang w:val="en-US" w:eastAsia="zh-CN"/>
              </w:rPr>
              <w:t>1</w:t>
            </w:r>
            <w:r>
              <w:rPr>
                <w:rFonts w:ascii="宋体" w:hAnsi="宋体" w:eastAsia="宋体" w:cs="宋体"/>
                <w:sz w:val="21"/>
                <w:szCs w:val="21"/>
                <w:highlight w:val="none"/>
              </w:rPr>
              <w:t>分/</w:t>
            </w:r>
            <w:r>
              <w:rPr>
                <w:rFonts w:hint="eastAsia" w:ascii="宋体" w:hAnsi="宋体" w:eastAsia="宋体" w:cs="宋体"/>
                <w:sz w:val="21"/>
                <w:szCs w:val="21"/>
                <w:highlight w:val="none"/>
                <w:lang w:eastAsia="zh-CN"/>
              </w:rPr>
              <w:t>次</w:t>
            </w:r>
            <w:r>
              <w:rPr>
                <w:rFonts w:ascii="宋体" w:hAnsi="宋体" w:eastAsia="宋体" w:cs="宋体"/>
                <w:sz w:val="21"/>
                <w:szCs w:val="21"/>
                <w:highlight w:val="none"/>
              </w:rPr>
              <w:t>；</w:t>
            </w:r>
          </w:p>
        </w:tc>
        <w:tc>
          <w:tcPr>
            <w:tcW w:w="840" w:type="dxa"/>
            <w:vMerge w:val="continue"/>
            <w:tcBorders>
              <w:top w:val="nil"/>
              <w:left w:val="nil"/>
              <w:bottom w:val="single" w:color="000000" w:sz="4" w:space="0"/>
              <w:right w:val="single" w:color="000000" w:sz="4" w:space="0"/>
            </w:tcBorders>
            <w:vAlign w:val="center"/>
          </w:tcPr>
          <w:p w14:paraId="0B2850F8">
            <w:pPr>
              <w:jc w:val="center"/>
              <w:rPr>
                <w:highlight w:val="none"/>
              </w:rPr>
            </w:pPr>
          </w:p>
        </w:tc>
        <w:tc>
          <w:tcPr>
            <w:tcW w:w="765" w:type="dxa"/>
            <w:vMerge w:val="continue"/>
            <w:tcBorders>
              <w:left w:val="nil"/>
              <w:bottom w:val="single" w:color="000000" w:sz="4" w:space="0"/>
              <w:right w:val="single" w:color="000000" w:sz="4" w:space="0"/>
            </w:tcBorders>
            <w:vAlign w:val="top"/>
          </w:tcPr>
          <w:p w14:paraId="04D55E5B">
            <w:pPr>
              <w:pStyle w:val="12"/>
              <w:jc w:val="center"/>
              <w:rPr>
                <w:highlight w:val="none"/>
              </w:rPr>
            </w:pPr>
          </w:p>
        </w:tc>
      </w:tr>
      <w:tr w14:paraId="648442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CE2B4">
            <w:pPr>
              <w:pStyle w:val="12"/>
              <w:jc w:val="center"/>
              <w:rPr>
                <w:rFonts w:hint="default"/>
                <w:highlight w:val="none"/>
              </w:rPr>
            </w:pPr>
            <w:r>
              <w:rPr>
                <w:sz w:val="21"/>
                <w:highlight w:val="none"/>
              </w:rPr>
              <w:t>12</w:t>
            </w:r>
          </w:p>
        </w:tc>
        <w:tc>
          <w:tcPr>
            <w:tcW w:w="91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BFE011B">
            <w:pPr>
              <w:pStyle w:val="12"/>
              <w:jc w:val="center"/>
              <w:rPr>
                <w:rFonts w:hint="default"/>
                <w:highlight w:val="none"/>
                <w:u w:val="none"/>
              </w:rPr>
            </w:pPr>
            <w:r>
              <w:rPr>
                <w:sz w:val="21"/>
                <w:highlight w:val="none"/>
                <w:u w:val="none"/>
              </w:rPr>
              <w:t>运</w:t>
            </w:r>
            <w:r>
              <w:rPr>
                <w:sz w:val="21"/>
                <w:highlight w:val="none"/>
                <w:u w:val="none"/>
                <w:lang w:eastAsia="zh-CN"/>
              </w:rPr>
              <w:t>维</w:t>
            </w:r>
            <w:r>
              <w:rPr>
                <w:sz w:val="21"/>
                <w:highlight w:val="none"/>
                <w:u w:val="none"/>
              </w:rPr>
              <w:t>质量</w:t>
            </w: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CF2EF9">
            <w:pPr>
              <w:pStyle w:val="12"/>
              <w:jc w:val="center"/>
              <w:rPr>
                <w:rFonts w:hint="default"/>
                <w:highlight w:val="none"/>
                <w:u w:val="none"/>
              </w:rPr>
            </w:pPr>
            <w:r>
              <w:rPr>
                <w:rFonts w:hint="eastAsia"/>
                <w:sz w:val="21"/>
                <w:highlight w:val="none"/>
                <w:u w:val="none"/>
                <w:lang w:val="en-US" w:eastAsia="zh-CN"/>
              </w:rPr>
              <w:t>事件处理</w:t>
            </w:r>
            <w:r>
              <w:rPr>
                <w:rFonts w:hint="eastAsia"/>
                <w:sz w:val="21"/>
                <w:highlight w:val="none"/>
                <w:u w:val="none"/>
                <w:lang w:eastAsia="zh-CN"/>
              </w:rPr>
              <w:t>质量</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C7424A">
            <w:pPr>
              <w:pStyle w:val="12"/>
              <w:rPr>
                <w:rFonts w:hint="default"/>
                <w:highlight w:val="none"/>
                <w:lang w:val="en-US"/>
              </w:rPr>
            </w:pPr>
            <w:r>
              <w:rPr>
                <w:rFonts w:hint="eastAsia"/>
                <w:sz w:val="21"/>
                <w:highlight w:val="none"/>
                <w:lang w:eastAsia="zh-CN"/>
              </w:rPr>
              <w:t>运维</w:t>
            </w:r>
            <w:r>
              <w:rPr>
                <w:rFonts w:hint="eastAsia"/>
                <w:sz w:val="21"/>
                <w:highlight w:val="none"/>
                <w:lang w:val="en-US" w:eastAsia="zh-CN"/>
              </w:rPr>
              <w:t>工单记录</w:t>
            </w:r>
            <w:r>
              <w:rPr>
                <w:rFonts w:hint="eastAsia"/>
                <w:sz w:val="21"/>
                <w:highlight w:val="none"/>
                <w:lang w:eastAsia="zh-CN"/>
              </w:rPr>
              <w:t>不规范不完整，运维情况说明不清晰的，扣</w:t>
            </w:r>
            <w:r>
              <w:rPr>
                <w:rFonts w:hint="eastAsia"/>
                <w:sz w:val="21"/>
                <w:highlight w:val="none"/>
                <w:lang w:val="en-US" w:eastAsia="zh-CN"/>
              </w:rPr>
              <w:t>2分/次。</w:t>
            </w:r>
          </w:p>
        </w:tc>
        <w:tc>
          <w:tcPr>
            <w:tcW w:w="840"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14:paraId="20D6601B">
            <w:pPr>
              <w:pStyle w:val="12"/>
              <w:jc w:val="center"/>
              <w:rPr>
                <w:rFonts w:hint="default"/>
                <w:highlight w:val="none"/>
                <w:lang w:eastAsia="zh-CN"/>
              </w:rPr>
            </w:pPr>
            <w:r>
              <w:rPr>
                <w:sz w:val="21"/>
                <w:highlight w:val="none"/>
                <w:lang w:eastAsia="zh-CN"/>
              </w:rPr>
              <w:t>12</w:t>
            </w:r>
          </w:p>
        </w:tc>
        <w:tc>
          <w:tcPr>
            <w:tcW w:w="765" w:type="dxa"/>
            <w:vMerge w:val="restart"/>
            <w:tcBorders>
              <w:top w:val="nil"/>
              <w:left w:val="nil"/>
              <w:right w:val="single" w:color="000000" w:sz="4" w:space="0"/>
            </w:tcBorders>
            <w:tcMar>
              <w:top w:w="0" w:type="dxa"/>
              <w:left w:w="105" w:type="dxa"/>
              <w:bottom w:w="0" w:type="dxa"/>
              <w:right w:w="105" w:type="dxa"/>
            </w:tcMar>
            <w:vAlign w:val="top"/>
          </w:tcPr>
          <w:p w14:paraId="30C35810">
            <w:pPr>
              <w:pStyle w:val="12"/>
              <w:jc w:val="center"/>
              <w:rPr>
                <w:highlight w:val="none"/>
              </w:rPr>
            </w:pPr>
          </w:p>
        </w:tc>
      </w:tr>
      <w:tr w14:paraId="48E7C7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4F7567">
            <w:pPr>
              <w:pStyle w:val="12"/>
              <w:jc w:val="center"/>
              <w:rPr>
                <w:rFonts w:hint="default"/>
                <w:highlight w:val="none"/>
              </w:rPr>
            </w:pPr>
            <w:r>
              <w:rPr>
                <w:sz w:val="21"/>
                <w:highlight w:val="none"/>
              </w:rPr>
              <w:t>13</w:t>
            </w:r>
          </w:p>
        </w:tc>
        <w:tc>
          <w:tcPr>
            <w:tcW w:w="915" w:type="dxa"/>
            <w:vMerge w:val="continue"/>
            <w:tcBorders>
              <w:top w:val="nil"/>
              <w:left w:val="nil"/>
              <w:bottom w:val="single" w:color="000000" w:sz="4" w:space="0"/>
              <w:right w:val="single" w:color="000000" w:sz="4" w:space="0"/>
            </w:tcBorders>
            <w:vAlign w:val="top"/>
          </w:tcPr>
          <w:p w14:paraId="3AAB5690">
            <w:pPr>
              <w:rPr>
                <w:highlight w:val="none"/>
                <w:u w:val="none"/>
              </w:rPr>
            </w:pPr>
          </w:p>
        </w:tc>
        <w:tc>
          <w:tcPr>
            <w:tcW w:w="1140" w:type="dxa"/>
            <w:tcBorders>
              <w:top w:val="nil"/>
              <w:left w:val="nil"/>
              <w:bottom w:val="single" w:color="000000" w:sz="4" w:space="0"/>
              <w:right w:val="single" w:color="000000" w:sz="4" w:space="0"/>
            </w:tcBorders>
            <w:vAlign w:val="top"/>
          </w:tcPr>
          <w:p w14:paraId="103BEC1B">
            <w:pPr>
              <w:rPr>
                <w:highlight w:val="none"/>
                <w:u w:val="none"/>
              </w:rPr>
            </w:pPr>
            <w:r>
              <w:rPr>
                <w:rFonts w:hint="eastAsia"/>
                <w:highlight w:val="none"/>
                <w:u w:val="none"/>
              </w:rPr>
              <w:t>运维</w:t>
            </w:r>
            <w:r>
              <w:rPr>
                <w:rFonts w:hint="eastAsia"/>
                <w:highlight w:val="none"/>
                <w:u w:val="none"/>
                <w:lang w:eastAsia="zh-CN"/>
              </w:rPr>
              <w:t>实施质量</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AFFA4B">
            <w:pPr>
              <w:pStyle w:val="12"/>
              <w:rPr>
                <w:rFonts w:hint="default"/>
                <w:highlight w:val="none"/>
              </w:rPr>
            </w:pPr>
            <w:r>
              <w:rPr>
                <w:rFonts w:hint="eastAsia"/>
                <w:sz w:val="21"/>
                <w:szCs w:val="21"/>
                <w:highlight w:val="none"/>
                <w:lang w:val="en-US" w:eastAsia="zh-CN"/>
              </w:rPr>
              <w:t>考核期内同一设备同一故障问题复现3次的扣1分</w:t>
            </w:r>
            <w:r>
              <w:rPr>
                <w:rFonts w:hint="eastAsia"/>
                <w:sz w:val="21"/>
                <w:highlight w:val="none"/>
                <w:lang w:val="en-US" w:eastAsia="zh-CN"/>
              </w:rPr>
              <w:t>/次。</w:t>
            </w:r>
          </w:p>
        </w:tc>
        <w:tc>
          <w:tcPr>
            <w:tcW w:w="840" w:type="dxa"/>
            <w:vMerge w:val="continue"/>
            <w:tcBorders>
              <w:top w:val="nil"/>
              <w:left w:val="nil"/>
              <w:bottom w:val="single" w:color="000000" w:sz="4" w:space="0"/>
              <w:right w:val="single" w:color="000000" w:sz="4" w:space="0"/>
            </w:tcBorders>
            <w:vAlign w:val="center"/>
          </w:tcPr>
          <w:p w14:paraId="62BD05E8">
            <w:pPr>
              <w:jc w:val="center"/>
              <w:rPr>
                <w:highlight w:val="none"/>
              </w:rPr>
            </w:pPr>
          </w:p>
        </w:tc>
        <w:tc>
          <w:tcPr>
            <w:tcW w:w="765" w:type="dxa"/>
            <w:vMerge w:val="continue"/>
            <w:tcBorders>
              <w:left w:val="nil"/>
              <w:bottom w:val="single" w:color="000000" w:sz="4" w:space="0"/>
              <w:right w:val="single" w:color="000000" w:sz="4" w:space="0"/>
            </w:tcBorders>
            <w:vAlign w:val="top"/>
          </w:tcPr>
          <w:p w14:paraId="73D35CD2">
            <w:pPr>
              <w:pStyle w:val="12"/>
              <w:jc w:val="center"/>
              <w:rPr>
                <w:highlight w:val="none"/>
              </w:rPr>
            </w:pPr>
          </w:p>
        </w:tc>
      </w:tr>
      <w:tr w14:paraId="24117A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962625">
            <w:pPr>
              <w:pStyle w:val="12"/>
              <w:jc w:val="center"/>
              <w:rPr>
                <w:rFonts w:hint="default"/>
                <w:highlight w:val="none"/>
              </w:rPr>
            </w:pPr>
            <w:r>
              <w:rPr>
                <w:sz w:val="21"/>
                <w:highlight w:val="none"/>
              </w:rPr>
              <w:t>14</w:t>
            </w:r>
          </w:p>
        </w:tc>
        <w:tc>
          <w:tcPr>
            <w:tcW w:w="91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9E21F08">
            <w:pPr>
              <w:pStyle w:val="12"/>
              <w:jc w:val="center"/>
              <w:rPr>
                <w:rFonts w:hint="default"/>
                <w:highlight w:val="none"/>
              </w:rPr>
            </w:pPr>
            <w:r>
              <w:rPr>
                <w:sz w:val="21"/>
                <w:highlight w:val="none"/>
              </w:rPr>
              <w:t>运维工作产出物质量</w:t>
            </w: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792689">
            <w:pPr>
              <w:pStyle w:val="12"/>
              <w:jc w:val="center"/>
              <w:rPr>
                <w:rFonts w:hint="default"/>
                <w:highlight w:val="none"/>
              </w:rPr>
            </w:pPr>
            <w:r>
              <w:rPr>
                <w:sz w:val="21"/>
                <w:highlight w:val="none"/>
              </w:rPr>
              <w:t>周期性报告质量</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21771C">
            <w:pPr>
              <w:pStyle w:val="12"/>
              <w:rPr>
                <w:rFonts w:hint="default"/>
                <w:highlight w:val="none"/>
              </w:rPr>
            </w:pPr>
            <w:r>
              <w:rPr>
                <w:sz w:val="21"/>
                <w:highlight w:val="none"/>
              </w:rPr>
              <w:t>包括季报、月报等应简洁清晰、重点突出、分析深入、建议或解决措施科学、合理，不符合或不满足的视情况扣分。</w:t>
            </w:r>
          </w:p>
        </w:tc>
        <w:tc>
          <w:tcPr>
            <w:tcW w:w="840"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14:paraId="14DEC44C">
            <w:pPr>
              <w:pStyle w:val="12"/>
              <w:jc w:val="center"/>
              <w:rPr>
                <w:rFonts w:hint="default"/>
                <w:highlight w:val="none"/>
                <w:lang w:eastAsia="zh-CN"/>
              </w:rPr>
            </w:pPr>
            <w:r>
              <w:rPr>
                <w:sz w:val="21"/>
                <w:highlight w:val="none"/>
                <w:lang w:eastAsia="zh-CN"/>
              </w:rPr>
              <w:t>16</w:t>
            </w:r>
          </w:p>
        </w:tc>
        <w:tc>
          <w:tcPr>
            <w:tcW w:w="765" w:type="dxa"/>
            <w:vMerge w:val="restart"/>
            <w:tcBorders>
              <w:top w:val="nil"/>
              <w:left w:val="nil"/>
              <w:right w:val="single" w:color="000000" w:sz="4" w:space="0"/>
            </w:tcBorders>
            <w:tcMar>
              <w:top w:w="0" w:type="dxa"/>
              <w:left w:w="105" w:type="dxa"/>
              <w:bottom w:w="0" w:type="dxa"/>
              <w:right w:w="105" w:type="dxa"/>
            </w:tcMar>
            <w:vAlign w:val="top"/>
          </w:tcPr>
          <w:p w14:paraId="7CF1C4DB">
            <w:pPr>
              <w:pStyle w:val="12"/>
              <w:jc w:val="center"/>
              <w:rPr>
                <w:highlight w:val="none"/>
              </w:rPr>
            </w:pPr>
          </w:p>
        </w:tc>
      </w:tr>
      <w:tr w14:paraId="7A868F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0C8FBA">
            <w:pPr>
              <w:pStyle w:val="12"/>
              <w:jc w:val="center"/>
              <w:rPr>
                <w:rFonts w:hint="default"/>
                <w:highlight w:val="none"/>
              </w:rPr>
            </w:pPr>
            <w:r>
              <w:rPr>
                <w:sz w:val="21"/>
                <w:highlight w:val="none"/>
              </w:rPr>
              <w:t>15</w:t>
            </w:r>
          </w:p>
        </w:tc>
        <w:tc>
          <w:tcPr>
            <w:tcW w:w="915" w:type="dxa"/>
            <w:vMerge w:val="continue"/>
            <w:tcBorders>
              <w:top w:val="nil"/>
              <w:left w:val="nil"/>
              <w:bottom w:val="single" w:color="000000" w:sz="4" w:space="0"/>
              <w:right w:val="single" w:color="000000" w:sz="4" w:space="0"/>
            </w:tcBorders>
            <w:vAlign w:val="top"/>
          </w:tcPr>
          <w:p w14:paraId="6D837530">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EC2E17">
            <w:pPr>
              <w:pStyle w:val="12"/>
              <w:jc w:val="center"/>
              <w:rPr>
                <w:rFonts w:hint="default"/>
                <w:highlight w:val="none"/>
              </w:rPr>
            </w:pPr>
            <w:r>
              <w:rPr>
                <w:sz w:val="21"/>
                <w:highlight w:val="none"/>
              </w:rPr>
              <w:t>非周期性产出物质量</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DA2A9F">
            <w:pPr>
              <w:pStyle w:val="12"/>
              <w:rPr>
                <w:rFonts w:hint="default"/>
                <w:highlight w:val="none"/>
              </w:rPr>
            </w:pPr>
            <w:r>
              <w:rPr>
                <w:sz w:val="21"/>
                <w:highlight w:val="none"/>
              </w:rPr>
              <w:t>事件解决方案、评估报告、专题报告等应简洁清晰、重点突出、分析深入、建议或解决措施科学、合理，不符合或不满足的视情况扣分。</w:t>
            </w:r>
          </w:p>
        </w:tc>
        <w:tc>
          <w:tcPr>
            <w:tcW w:w="840" w:type="dxa"/>
            <w:vMerge w:val="continue"/>
            <w:tcBorders>
              <w:top w:val="nil"/>
              <w:left w:val="nil"/>
              <w:bottom w:val="single" w:color="000000" w:sz="4" w:space="0"/>
              <w:right w:val="single" w:color="000000" w:sz="4" w:space="0"/>
            </w:tcBorders>
            <w:vAlign w:val="center"/>
          </w:tcPr>
          <w:p w14:paraId="6ACEF298">
            <w:pPr>
              <w:jc w:val="center"/>
              <w:rPr>
                <w:highlight w:val="none"/>
              </w:rPr>
            </w:pPr>
          </w:p>
        </w:tc>
        <w:tc>
          <w:tcPr>
            <w:tcW w:w="765" w:type="dxa"/>
            <w:vMerge w:val="continue"/>
            <w:tcBorders>
              <w:left w:val="nil"/>
              <w:bottom w:val="single" w:color="000000" w:sz="4" w:space="0"/>
              <w:right w:val="single" w:color="000000" w:sz="4" w:space="0"/>
            </w:tcBorders>
            <w:vAlign w:val="top"/>
          </w:tcPr>
          <w:p w14:paraId="594DB68E">
            <w:pPr>
              <w:pStyle w:val="12"/>
              <w:jc w:val="center"/>
              <w:rPr>
                <w:highlight w:val="none"/>
              </w:rPr>
            </w:pPr>
          </w:p>
        </w:tc>
      </w:tr>
      <w:tr w14:paraId="4C2E2A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7AD23">
            <w:pPr>
              <w:pStyle w:val="12"/>
              <w:jc w:val="center"/>
              <w:rPr>
                <w:rFonts w:hint="default"/>
                <w:highlight w:val="none"/>
              </w:rPr>
            </w:pPr>
            <w:r>
              <w:rPr>
                <w:sz w:val="21"/>
                <w:highlight w:val="none"/>
              </w:rPr>
              <w:t>16</w:t>
            </w:r>
          </w:p>
        </w:tc>
        <w:tc>
          <w:tcPr>
            <w:tcW w:w="91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DE85DA0">
            <w:pPr>
              <w:pStyle w:val="12"/>
              <w:jc w:val="center"/>
              <w:rPr>
                <w:rFonts w:hint="default"/>
                <w:highlight w:val="none"/>
              </w:rPr>
            </w:pPr>
            <w:r>
              <w:rPr>
                <w:sz w:val="21"/>
                <w:highlight w:val="none"/>
              </w:rPr>
              <w:t>运维专项活动质量</w:t>
            </w: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78B2BB">
            <w:pPr>
              <w:pStyle w:val="12"/>
              <w:jc w:val="center"/>
              <w:rPr>
                <w:rFonts w:hint="default"/>
                <w:highlight w:val="none"/>
              </w:rPr>
            </w:pPr>
            <w:r>
              <w:rPr>
                <w:sz w:val="21"/>
                <w:highlight w:val="none"/>
              </w:rPr>
              <w:t>运维专项活动质量</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C9BC18">
            <w:pPr>
              <w:pStyle w:val="12"/>
              <w:rPr>
                <w:rFonts w:hint="default"/>
                <w:highlight w:val="none"/>
              </w:rPr>
            </w:pPr>
            <w:r>
              <w:rPr>
                <w:rFonts w:hint="eastAsia"/>
                <w:sz w:val="21"/>
                <w:highlight w:val="none"/>
                <w:lang w:eastAsia="zh-CN"/>
              </w:rPr>
              <w:t>未配合部门完成各级别的保密检查、软件正版化检查等专项工作的，每次扣</w:t>
            </w:r>
            <w:r>
              <w:rPr>
                <w:rFonts w:hint="eastAsia"/>
                <w:sz w:val="21"/>
                <w:highlight w:val="none"/>
                <w:lang w:val="en-US" w:eastAsia="zh-CN"/>
              </w:rPr>
              <w:t>2分。</w:t>
            </w:r>
          </w:p>
        </w:tc>
        <w:tc>
          <w:tcPr>
            <w:tcW w:w="840"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14:paraId="556F3147">
            <w:pPr>
              <w:pStyle w:val="12"/>
              <w:jc w:val="center"/>
              <w:rPr>
                <w:rFonts w:hint="default"/>
                <w:highlight w:val="none"/>
                <w:lang w:eastAsia="zh-CN"/>
              </w:rPr>
            </w:pPr>
            <w:r>
              <w:rPr>
                <w:highlight w:val="none"/>
                <w:lang w:eastAsia="zh-CN"/>
              </w:rPr>
              <w:t>10</w:t>
            </w:r>
          </w:p>
        </w:tc>
        <w:tc>
          <w:tcPr>
            <w:tcW w:w="765" w:type="dxa"/>
            <w:vMerge w:val="restart"/>
            <w:tcBorders>
              <w:top w:val="nil"/>
              <w:left w:val="nil"/>
              <w:right w:val="single" w:color="000000" w:sz="4" w:space="0"/>
            </w:tcBorders>
            <w:tcMar>
              <w:top w:w="0" w:type="dxa"/>
              <w:left w:w="105" w:type="dxa"/>
              <w:bottom w:w="0" w:type="dxa"/>
              <w:right w:w="105" w:type="dxa"/>
            </w:tcMar>
            <w:vAlign w:val="top"/>
          </w:tcPr>
          <w:p w14:paraId="490762AE">
            <w:pPr>
              <w:pStyle w:val="12"/>
              <w:jc w:val="center"/>
              <w:rPr>
                <w:highlight w:val="none"/>
              </w:rPr>
            </w:pPr>
          </w:p>
        </w:tc>
      </w:tr>
      <w:tr w14:paraId="4C4D2D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5E551">
            <w:pPr>
              <w:pStyle w:val="12"/>
              <w:jc w:val="center"/>
              <w:rPr>
                <w:rFonts w:hint="default"/>
                <w:highlight w:val="none"/>
              </w:rPr>
            </w:pPr>
            <w:r>
              <w:rPr>
                <w:sz w:val="21"/>
                <w:highlight w:val="none"/>
              </w:rPr>
              <w:t>17</w:t>
            </w:r>
          </w:p>
        </w:tc>
        <w:tc>
          <w:tcPr>
            <w:tcW w:w="915" w:type="dxa"/>
            <w:vMerge w:val="continue"/>
            <w:tcBorders>
              <w:top w:val="nil"/>
              <w:left w:val="nil"/>
              <w:bottom w:val="single" w:color="000000" w:sz="4" w:space="0"/>
              <w:right w:val="single" w:color="000000" w:sz="4" w:space="0"/>
            </w:tcBorders>
            <w:vAlign w:val="top"/>
          </w:tcPr>
          <w:p w14:paraId="09479DA2">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EF40D0">
            <w:pPr>
              <w:pStyle w:val="12"/>
              <w:jc w:val="center"/>
              <w:rPr>
                <w:rFonts w:hint="default"/>
                <w:highlight w:val="none"/>
              </w:rPr>
            </w:pPr>
            <w:r>
              <w:rPr>
                <w:sz w:val="21"/>
                <w:highlight w:val="none"/>
              </w:rPr>
              <w:t>漏洞</w:t>
            </w:r>
            <w:r>
              <w:rPr>
                <w:sz w:val="21"/>
                <w:highlight w:val="none"/>
                <w:lang w:eastAsia="zh-CN"/>
              </w:rPr>
              <w:t>修复</w:t>
            </w:r>
            <w:r>
              <w:rPr>
                <w:sz w:val="21"/>
                <w:highlight w:val="none"/>
              </w:rPr>
              <w:t>质量</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E267B4">
            <w:pPr>
              <w:pStyle w:val="12"/>
              <w:rPr>
                <w:rFonts w:hint="default"/>
                <w:highlight w:val="none"/>
              </w:rPr>
            </w:pPr>
            <w:r>
              <w:rPr>
                <w:sz w:val="21"/>
                <w:highlight w:val="none"/>
                <w:lang w:eastAsia="zh-CN"/>
              </w:rPr>
              <w:t>在接到安全运维中心漏洞修复提醒后，</w:t>
            </w:r>
            <w:r>
              <w:rPr>
                <w:rFonts w:hint="eastAsia"/>
                <w:sz w:val="21"/>
                <w:highlight w:val="none"/>
                <w:lang w:eastAsia="zh-CN"/>
              </w:rPr>
              <w:t>未在</w:t>
            </w:r>
            <w:r>
              <w:rPr>
                <w:rFonts w:hint="eastAsia"/>
                <w:sz w:val="21"/>
                <w:highlight w:val="none"/>
                <w:lang w:val="en-US" w:eastAsia="zh-CN"/>
              </w:rPr>
              <w:t>1个工作日内</w:t>
            </w:r>
            <w:r>
              <w:rPr>
                <w:sz w:val="21"/>
                <w:highlight w:val="none"/>
                <w:lang w:eastAsia="zh-CN"/>
              </w:rPr>
              <w:t>联系相关部门</w:t>
            </w:r>
            <w:r>
              <w:rPr>
                <w:rFonts w:hint="eastAsia"/>
                <w:sz w:val="21"/>
                <w:highlight w:val="none"/>
                <w:lang w:eastAsia="zh-CN"/>
              </w:rPr>
              <w:t>并配合</w:t>
            </w:r>
            <w:r>
              <w:rPr>
                <w:sz w:val="21"/>
                <w:highlight w:val="none"/>
                <w:lang w:eastAsia="zh-CN"/>
              </w:rPr>
              <w:t>完成漏洞修复的，扣2分/次</w:t>
            </w:r>
            <w:r>
              <w:rPr>
                <w:sz w:val="21"/>
                <w:highlight w:val="none"/>
              </w:rPr>
              <w:t>。</w:t>
            </w:r>
          </w:p>
        </w:tc>
        <w:tc>
          <w:tcPr>
            <w:tcW w:w="840" w:type="dxa"/>
            <w:vMerge w:val="continue"/>
            <w:tcBorders>
              <w:top w:val="nil"/>
              <w:left w:val="nil"/>
              <w:bottom w:val="single" w:color="000000" w:sz="4" w:space="0"/>
              <w:right w:val="single" w:color="000000" w:sz="4" w:space="0"/>
            </w:tcBorders>
            <w:vAlign w:val="center"/>
          </w:tcPr>
          <w:p w14:paraId="0FA5F886">
            <w:pPr>
              <w:jc w:val="center"/>
              <w:rPr>
                <w:highlight w:val="none"/>
              </w:rPr>
            </w:pPr>
          </w:p>
        </w:tc>
        <w:tc>
          <w:tcPr>
            <w:tcW w:w="765" w:type="dxa"/>
            <w:vMerge w:val="continue"/>
            <w:tcBorders>
              <w:left w:val="nil"/>
              <w:bottom w:val="single" w:color="000000" w:sz="4" w:space="0"/>
              <w:right w:val="single" w:color="000000" w:sz="4" w:space="0"/>
            </w:tcBorders>
            <w:vAlign w:val="top"/>
          </w:tcPr>
          <w:p w14:paraId="48B24BF6">
            <w:pPr>
              <w:pStyle w:val="12"/>
              <w:jc w:val="center"/>
              <w:rPr>
                <w:highlight w:val="none"/>
              </w:rPr>
            </w:pPr>
          </w:p>
        </w:tc>
      </w:tr>
      <w:tr w14:paraId="220F30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9C5935">
            <w:pPr>
              <w:pStyle w:val="12"/>
              <w:jc w:val="center"/>
              <w:rPr>
                <w:rFonts w:hint="default"/>
                <w:highlight w:val="none"/>
              </w:rPr>
            </w:pPr>
            <w:r>
              <w:rPr>
                <w:sz w:val="21"/>
                <w:highlight w:val="none"/>
              </w:rPr>
              <w:t>18</w:t>
            </w:r>
          </w:p>
        </w:tc>
        <w:tc>
          <w:tcPr>
            <w:tcW w:w="91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D3FC641">
            <w:pPr>
              <w:pStyle w:val="12"/>
              <w:jc w:val="center"/>
              <w:rPr>
                <w:rFonts w:hint="default"/>
                <w:highlight w:val="none"/>
              </w:rPr>
            </w:pPr>
            <w:r>
              <w:rPr>
                <w:sz w:val="21"/>
                <w:highlight w:val="none"/>
              </w:rPr>
              <w:t>服务质量</w:t>
            </w: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A777BE">
            <w:pPr>
              <w:pStyle w:val="12"/>
              <w:jc w:val="center"/>
              <w:rPr>
                <w:rFonts w:hint="default"/>
                <w:highlight w:val="none"/>
              </w:rPr>
            </w:pPr>
            <w:r>
              <w:rPr>
                <w:sz w:val="21"/>
                <w:highlight w:val="none"/>
              </w:rPr>
              <w:t>事件响应时间达标率</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391AA7">
            <w:pPr>
              <w:pStyle w:val="12"/>
              <w:rPr>
                <w:rFonts w:hint="default"/>
                <w:highlight w:val="none"/>
              </w:rPr>
            </w:pPr>
            <w:r>
              <w:rPr>
                <w:rFonts w:hint="eastAsia"/>
                <w:sz w:val="21"/>
                <w:highlight w:val="none"/>
                <w:lang w:eastAsia="zh-CN"/>
              </w:rPr>
              <w:t>根据运维工单数据，统计事件响应时间达标率，</w:t>
            </w:r>
            <w:r>
              <w:rPr>
                <w:sz w:val="21"/>
                <w:highlight w:val="none"/>
              </w:rPr>
              <w:t>达标率低于70%（扣5分）；低于80%（扣4分）；低于90%（扣2分）；低于100%（扣0.5分）；</w:t>
            </w:r>
          </w:p>
        </w:tc>
        <w:tc>
          <w:tcPr>
            <w:tcW w:w="840"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14:paraId="03C3B36C">
            <w:pPr>
              <w:pStyle w:val="12"/>
              <w:jc w:val="center"/>
              <w:rPr>
                <w:rFonts w:hint="default"/>
                <w:highlight w:val="none"/>
                <w:lang w:eastAsia="zh-CN"/>
              </w:rPr>
            </w:pPr>
            <w:r>
              <w:rPr>
                <w:sz w:val="21"/>
                <w:highlight w:val="none"/>
                <w:lang w:eastAsia="zh-CN"/>
              </w:rPr>
              <w:t>16</w:t>
            </w:r>
          </w:p>
        </w:tc>
        <w:tc>
          <w:tcPr>
            <w:tcW w:w="765" w:type="dxa"/>
            <w:vMerge w:val="restart"/>
            <w:tcBorders>
              <w:top w:val="nil"/>
              <w:left w:val="nil"/>
              <w:right w:val="single" w:color="000000" w:sz="4" w:space="0"/>
            </w:tcBorders>
            <w:tcMar>
              <w:top w:w="0" w:type="dxa"/>
              <w:left w:w="105" w:type="dxa"/>
              <w:bottom w:w="0" w:type="dxa"/>
              <w:right w:w="105" w:type="dxa"/>
            </w:tcMar>
            <w:vAlign w:val="top"/>
          </w:tcPr>
          <w:p w14:paraId="77EEA3E2">
            <w:pPr>
              <w:pStyle w:val="12"/>
              <w:jc w:val="center"/>
              <w:rPr>
                <w:highlight w:val="none"/>
              </w:rPr>
            </w:pPr>
          </w:p>
        </w:tc>
      </w:tr>
      <w:tr w14:paraId="3E7CA8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0F7BA3">
            <w:pPr>
              <w:pStyle w:val="12"/>
              <w:jc w:val="center"/>
              <w:rPr>
                <w:rFonts w:hint="default"/>
                <w:highlight w:val="none"/>
              </w:rPr>
            </w:pPr>
            <w:r>
              <w:rPr>
                <w:sz w:val="21"/>
                <w:highlight w:val="none"/>
              </w:rPr>
              <w:t>19</w:t>
            </w:r>
          </w:p>
        </w:tc>
        <w:tc>
          <w:tcPr>
            <w:tcW w:w="915" w:type="dxa"/>
            <w:vMerge w:val="continue"/>
            <w:tcBorders>
              <w:top w:val="nil"/>
              <w:left w:val="nil"/>
              <w:bottom w:val="single" w:color="000000" w:sz="4" w:space="0"/>
              <w:right w:val="single" w:color="000000" w:sz="4" w:space="0"/>
            </w:tcBorders>
            <w:vAlign w:val="top"/>
          </w:tcPr>
          <w:p w14:paraId="55D60A85">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2C3A59">
            <w:pPr>
              <w:pStyle w:val="12"/>
              <w:jc w:val="center"/>
              <w:rPr>
                <w:rFonts w:hint="eastAsia" w:eastAsiaTheme="minorEastAsia"/>
                <w:highlight w:val="none"/>
                <w:lang w:eastAsia="zh-CN"/>
              </w:rPr>
            </w:pPr>
            <w:r>
              <w:rPr>
                <w:sz w:val="21"/>
                <w:highlight w:val="none"/>
              </w:rPr>
              <w:t>事件处理时间达标率</w:t>
            </w:r>
            <w:r>
              <w:rPr>
                <w:rFonts w:hint="eastAsia"/>
                <w:sz w:val="21"/>
                <w:highlight w:val="none"/>
                <w:lang w:eastAsia="zh-CN"/>
              </w:rPr>
              <w:t>（</w:t>
            </w:r>
            <w:r>
              <w:rPr>
                <w:rFonts w:hint="eastAsia"/>
                <w:sz w:val="21"/>
                <w:highlight w:val="none"/>
                <w:lang w:val="en-US" w:eastAsia="zh-CN"/>
              </w:rPr>
              <w:t>按时</w:t>
            </w:r>
            <w:r>
              <w:rPr>
                <w:rFonts w:hint="eastAsia"/>
                <w:sz w:val="21"/>
                <w:highlight w:val="none"/>
                <w:lang w:eastAsia="zh-CN"/>
              </w:rPr>
              <w:t>完成工单数/考核时间段内总单数）</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9036F3">
            <w:pPr>
              <w:pStyle w:val="12"/>
              <w:rPr>
                <w:rFonts w:hint="default"/>
                <w:highlight w:val="none"/>
              </w:rPr>
            </w:pPr>
            <w:r>
              <w:rPr>
                <w:sz w:val="21"/>
                <w:highlight w:val="none"/>
              </w:rPr>
              <w:t>达标率低于70%（扣5分）；低于80%（扣4分）；低于90%（扣2分）；低于100%（扣0.5分）；</w:t>
            </w:r>
          </w:p>
        </w:tc>
        <w:tc>
          <w:tcPr>
            <w:tcW w:w="840" w:type="dxa"/>
            <w:vMerge w:val="continue"/>
            <w:tcBorders>
              <w:top w:val="nil"/>
              <w:left w:val="nil"/>
              <w:bottom w:val="single" w:color="000000" w:sz="4" w:space="0"/>
              <w:right w:val="single" w:color="000000" w:sz="4" w:space="0"/>
            </w:tcBorders>
            <w:vAlign w:val="center"/>
          </w:tcPr>
          <w:p w14:paraId="006FD838">
            <w:pPr>
              <w:jc w:val="center"/>
              <w:rPr>
                <w:highlight w:val="none"/>
              </w:rPr>
            </w:pPr>
          </w:p>
        </w:tc>
        <w:tc>
          <w:tcPr>
            <w:tcW w:w="765" w:type="dxa"/>
            <w:vMerge w:val="continue"/>
            <w:tcBorders>
              <w:left w:val="nil"/>
              <w:right w:val="single" w:color="000000" w:sz="4" w:space="0"/>
            </w:tcBorders>
            <w:vAlign w:val="top"/>
          </w:tcPr>
          <w:p w14:paraId="79B71E78">
            <w:pPr>
              <w:pStyle w:val="12"/>
              <w:jc w:val="center"/>
              <w:rPr>
                <w:highlight w:val="none"/>
              </w:rPr>
            </w:pPr>
          </w:p>
        </w:tc>
      </w:tr>
      <w:tr w14:paraId="1A618A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1D13AC">
            <w:pPr>
              <w:pStyle w:val="12"/>
              <w:jc w:val="center"/>
              <w:rPr>
                <w:rFonts w:hint="default"/>
                <w:highlight w:val="none"/>
              </w:rPr>
            </w:pPr>
            <w:r>
              <w:rPr>
                <w:sz w:val="21"/>
                <w:highlight w:val="none"/>
              </w:rPr>
              <w:t>20</w:t>
            </w:r>
          </w:p>
        </w:tc>
        <w:tc>
          <w:tcPr>
            <w:tcW w:w="915" w:type="dxa"/>
            <w:vMerge w:val="continue"/>
            <w:tcBorders>
              <w:top w:val="nil"/>
              <w:left w:val="nil"/>
              <w:bottom w:val="single" w:color="000000" w:sz="4" w:space="0"/>
              <w:right w:val="single" w:color="000000" w:sz="4" w:space="0"/>
            </w:tcBorders>
            <w:vAlign w:val="top"/>
          </w:tcPr>
          <w:p w14:paraId="6E5C0E68">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8BB520">
            <w:pPr>
              <w:pStyle w:val="12"/>
              <w:jc w:val="center"/>
              <w:rPr>
                <w:rFonts w:hint="default"/>
                <w:highlight w:val="none"/>
              </w:rPr>
            </w:pPr>
            <w:r>
              <w:rPr>
                <w:sz w:val="21"/>
                <w:highlight w:val="none"/>
              </w:rPr>
              <w:t>事件完成率（已经完成的事件数/事件总数）</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E6FE96">
            <w:pPr>
              <w:pStyle w:val="12"/>
              <w:rPr>
                <w:rFonts w:hint="default"/>
                <w:highlight w:val="none"/>
              </w:rPr>
            </w:pPr>
            <w:r>
              <w:rPr>
                <w:sz w:val="21"/>
                <w:highlight w:val="none"/>
              </w:rPr>
              <w:t>完成的事件数</w:t>
            </w:r>
            <w:r>
              <w:rPr>
                <w:rFonts w:hint="eastAsia"/>
                <w:sz w:val="21"/>
                <w:highlight w:val="none"/>
                <w:lang w:eastAsia="zh-CN"/>
              </w:rPr>
              <w:t>除以</w:t>
            </w:r>
            <w:r>
              <w:rPr>
                <w:sz w:val="21"/>
                <w:highlight w:val="none"/>
              </w:rPr>
              <w:t>事件总数</w:t>
            </w:r>
            <w:r>
              <w:rPr>
                <w:rFonts w:hint="eastAsia"/>
                <w:sz w:val="21"/>
                <w:highlight w:val="none"/>
                <w:lang w:eastAsia="zh-CN"/>
              </w:rPr>
              <w:t>，</w:t>
            </w:r>
            <w:r>
              <w:rPr>
                <w:sz w:val="21"/>
                <w:highlight w:val="none"/>
              </w:rPr>
              <w:t>低于70%（扣5分）；低于80%（扣4分）；低于90%（扣2分）；低于100%（扣0.5分）；</w:t>
            </w:r>
          </w:p>
        </w:tc>
        <w:tc>
          <w:tcPr>
            <w:tcW w:w="840" w:type="dxa"/>
            <w:vMerge w:val="continue"/>
            <w:tcBorders>
              <w:top w:val="nil"/>
              <w:left w:val="nil"/>
              <w:bottom w:val="single" w:color="000000" w:sz="4" w:space="0"/>
              <w:right w:val="single" w:color="000000" w:sz="4" w:space="0"/>
            </w:tcBorders>
            <w:vAlign w:val="center"/>
          </w:tcPr>
          <w:p w14:paraId="5525325E">
            <w:pPr>
              <w:jc w:val="center"/>
              <w:rPr>
                <w:highlight w:val="none"/>
              </w:rPr>
            </w:pPr>
          </w:p>
        </w:tc>
        <w:tc>
          <w:tcPr>
            <w:tcW w:w="765" w:type="dxa"/>
            <w:vMerge w:val="continue"/>
            <w:tcBorders>
              <w:left w:val="nil"/>
              <w:bottom w:val="single" w:color="000000" w:sz="4" w:space="0"/>
              <w:right w:val="single" w:color="000000" w:sz="4" w:space="0"/>
            </w:tcBorders>
            <w:vAlign w:val="top"/>
          </w:tcPr>
          <w:p w14:paraId="05E1B1A5">
            <w:pPr>
              <w:pStyle w:val="12"/>
              <w:jc w:val="center"/>
              <w:rPr>
                <w:highlight w:val="none"/>
              </w:rPr>
            </w:pPr>
          </w:p>
        </w:tc>
      </w:tr>
      <w:tr w14:paraId="69019D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D8516F">
            <w:pPr>
              <w:pStyle w:val="12"/>
              <w:jc w:val="center"/>
              <w:rPr>
                <w:rFonts w:hint="default"/>
                <w:highlight w:val="none"/>
              </w:rPr>
            </w:pPr>
            <w:r>
              <w:rPr>
                <w:sz w:val="21"/>
                <w:highlight w:val="none"/>
              </w:rPr>
              <w:t>21</w:t>
            </w:r>
          </w:p>
        </w:tc>
        <w:tc>
          <w:tcPr>
            <w:tcW w:w="91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54D74FA">
            <w:pPr>
              <w:pStyle w:val="12"/>
              <w:jc w:val="center"/>
              <w:rPr>
                <w:rFonts w:hint="default"/>
                <w:highlight w:val="none"/>
              </w:rPr>
            </w:pPr>
            <w:r>
              <w:rPr>
                <w:sz w:val="21"/>
                <w:highlight w:val="none"/>
              </w:rPr>
              <w:t>服务评价</w:t>
            </w: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80CAED">
            <w:pPr>
              <w:pStyle w:val="12"/>
              <w:jc w:val="center"/>
              <w:rPr>
                <w:rFonts w:hint="eastAsia" w:eastAsiaTheme="minorEastAsia"/>
                <w:highlight w:val="none"/>
                <w:lang w:eastAsia="zh-CN"/>
              </w:rPr>
            </w:pPr>
            <w:r>
              <w:rPr>
                <w:sz w:val="21"/>
                <w:highlight w:val="none"/>
                <w:lang w:eastAsia="zh-CN"/>
              </w:rPr>
              <w:t>服务</w:t>
            </w:r>
            <w:r>
              <w:rPr>
                <w:rFonts w:hint="eastAsia"/>
                <w:sz w:val="21"/>
                <w:highlight w:val="none"/>
                <w:lang w:eastAsia="zh-CN"/>
              </w:rPr>
              <w:t>过程</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8A87F1">
            <w:pPr>
              <w:pStyle w:val="12"/>
              <w:rPr>
                <w:rFonts w:hint="default"/>
                <w:highlight w:val="none"/>
              </w:rPr>
            </w:pPr>
            <w:r>
              <w:rPr>
                <w:rFonts w:hint="eastAsia"/>
                <w:highlight w:val="none"/>
                <w:lang w:eastAsia="zh-CN"/>
              </w:rPr>
              <w:t>运维</w:t>
            </w:r>
            <w:r>
              <w:rPr>
                <w:rFonts w:hint="eastAsia"/>
                <w:sz w:val="21"/>
                <w:highlight w:val="none"/>
                <w:lang w:eastAsia="zh-CN"/>
              </w:rPr>
              <w:t>过程完整、全面。（</w:t>
            </w:r>
            <w:r>
              <w:rPr>
                <w:rFonts w:hint="eastAsia"/>
                <w:sz w:val="21"/>
                <w:highlight w:val="none"/>
                <w:lang w:val="en-US" w:eastAsia="zh-CN"/>
              </w:rPr>
              <w:t>2分</w:t>
            </w:r>
            <w:r>
              <w:rPr>
                <w:rFonts w:hint="eastAsia"/>
                <w:sz w:val="21"/>
                <w:highlight w:val="none"/>
                <w:lang w:eastAsia="zh-CN"/>
              </w:rPr>
              <w:t>）</w:t>
            </w:r>
          </w:p>
        </w:tc>
        <w:tc>
          <w:tcPr>
            <w:tcW w:w="840"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14:paraId="15B4B369">
            <w:pPr>
              <w:pStyle w:val="12"/>
              <w:jc w:val="center"/>
              <w:rPr>
                <w:rFonts w:hint="default"/>
                <w:highlight w:val="none"/>
                <w:lang w:eastAsia="zh-CN"/>
              </w:rPr>
            </w:pPr>
            <w:r>
              <w:rPr>
                <w:sz w:val="21"/>
                <w:highlight w:val="none"/>
                <w:lang w:eastAsia="zh-CN"/>
              </w:rPr>
              <w:t>10</w:t>
            </w:r>
          </w:p>
        </w:tc>
        <w:tc>
          <w:tcPr>
            <w:tcW w:w="765" w:type="dxa"/>
            <w:vMerge w:val="restart"/>
            <w:tcBorders>
              <w:top w:val="nil"/>
              <w:left w:val="nil"/>
              <w:right w:val="single" w:color="000000" w:sz="4" w:space="0"/>
            </w:tcBorders>
            <w:tcMar>
              <w:top w:w="0" w:type="dxa"/>
              <w:left w:w="105" w:type="dxa"/>
              <w:bottom w:w="0" w:type="dxa"/>
              <w:right w:w="105" w:type="dxa"/>
            </w:tcMar>
            <w:vAlign w:val="top"/>
          </w:tcPr>
          <w:p w14:paraId="2EF2E813">
            <w:pPr>
              <w:pStyle w:val="12"/>
              <w:jc w:val="center"/>
              <w:rPr>
                <w:highlight w:val="none"/>
              </w:rPr>
            </w:pPr>
          </w:p>
        </w:tc>
      </w:tr>
      <w:tr w14:paraId="7A2D67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AAA076">
            <w:pPr>
              <w:pStyle w:val="12"/>
              <w:jc w:val="center"/>
              <w:rPr>
                <w:rFonts w:hint="default"/>
                <w:highlight w:val="none"/>
              </w:rPr>
            </w:pPr>
            <w:r>
              <w:rPr>
                <w:sz w:val="21"/>
                <w:highlight w:val="none"/>
              </w:rPr>
              <w:t>22</w:t>
            </w:r>
          </w:p>
        </w:tc>
        <w:tc>
          <w:tcPr>
            <w:tcW w:w="915" w:type="dxa"/>
            <w:vMerge w:val="continue"/>
            <w:tcBorders>
              <w:top w:val="nil"/>
              <w:left w:val="nil"/>
              <w:bottom w:val="single" w:color="000000" w:sz="4" w:space="0"/>
              <w:right w:val="single" w:color="000000" w:sz="4" w:space="0"/>
            </w:tcBorders>
            <w:vAlign w:val="top"/>
          </w:tcPr>
          <w:p w14:paraId="1F60D64C">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38D2CD">
            <w:pPr>
              <w:pStyle w:val="12"/>
              <w:jc w:val="center"/>
              <w:rPr>
                <w:rFonts w:hint="default"/>
                <w:sz w:val="21"/>
                <w:highlight w:val="none"/>
                <w:lang w:eastAsia="zh-CN"/>
              </w:rPr>
            </w:pPr>
            <w:r>
              <w:rPr>
                <w:rFonts w:hint="eastAsia"/>
                <w:sz w:val="21"/>
                <w:highlight w:val="none"/>
                <w:lang w:eastAsia="zh-CN"/>
              </w:rPr>
              <w:t>服务态度</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3FAB07">
            <w:pPr>
              <w:pStyle w:val="12"/>
              <w:rPr>
                <w:rFonts w:hint="default"/>
                <w:sz w:val="21"/>
                <w:highlight w:val="none"/>
                <w:lang w:eastAsia="zh-CN"/>
              </w:rPr>
            </w:pPr>
            <w:r>
              <w:rPr>
                <w:rFonts w:hint="eastAsia"/>
                <w:sz w:val="21"/>
                <w:highlight w:val="none"/>
                <w:lang w:eastAsia="zh-CN"/>
              </w:rPr>
              <w:t>服务态度主动、耐心、谦虚。（</w:t>
            </w:r>
            <w:r>
              <w:rPr>
                <w:rFonts w:hint="eastAsia"/>
                <w:sz w:val="21"/>
                <w:highlight w:val="none"/>
                <w:lang w:val="en-US" w:eastAsia="zh-CN"/>
              </w:rPr>
              <w:t>2分</w:t>
            </w:r>
            <w:r>
              <w:rPr>
                <w:rFonts w:hint="eastAsia"/>
                <w:sz w:val="21"/>
                <w:highlight w:val="none"/>
                <w:lang w:eastAsia="zh-CN"/>
              </w:rPr>
              <w:t>）</w:t>
            </w:r>
          </w:p>
        </w:tc>
        <w:tc>
          <w:tcPr>
            <w:tcW w:w="840" w:type="dxa"/>
            <w:vMerge w:val="continue"/>
            <w:tcBorders>
              <w:top w:val="nil"/>
              <w:left w:val="nil"/>
              <w:bottom w:val="single" w:color="000000" w:sz="4" w:space="0"/>
              <w:right w:val="single" w:color="000000" w:sz="4" w:space="0"/>
            </w:tcBorders>
            <w:vAlign w:val="top"/>
          </w:tcPr>
          <w:p w14:paraId="590BD3E0">
            <w:pPr>
              <w:rPr>
                <w:highlight w:val="none"/>
              </w:rPr>
            </w:pPr>
          </w:p>
        </w:tc>
        <w:tc>
          <w:tcPr>
            <w:tcW w:w="765" w:type="dxa"/>
            <w:vMerge w:val="continue"/>
            <w:tcBorders>
              <w:left w:val="nil"/>
              <w:right w:val="single" w:color="000000" w:sz="4" w:space="0"/>
            </w:tcBorders>
            <w:vAlign w:val="top"/>
          </w:tcPr>
          <w:p w14:paraId="4B969EF1">
            <w:pPr>
              <w:pStyle w:val="12"/>
              <w:jc w:val="center"/>
              <w:rPr>
                <w:highlight w:val="none"/>
              </w:rPr>
            </w:pPr>
          </w:p>
        </w:tc>
      </w:tr>
      <w:tr w14:paraId="25246A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4D9BB6">
            <w:pPr>
              <w:pStyle w:val="12"/>
              <w:jc w:val="center"/>
              <w:rPr>
                <w:rFonts w:hint="default"/>
                <w:highlight w:val="none"/>
              </w:rPr>
            </w:pPr>
            <w:r>
              <w:rPr>
                <w:sz w:val="21"/>
                <w:highlight w:val="none"/>
              </w:rPr>
              <w:t>23</w:t>
            </w:r>
          </w:p>
        </w:tc>
        <w:tc>
          <w:tcPr>
            <w:tcW w:w="915" w:type="dxa"/>
            <w:vMerge w:val="continue"/>
            <w:tcBorders>
              <w:top w:val="nil"/>
              <w:left w:val="nil"/>
              <w:bottom w:val="single" w:color="000000" w:sz="4" w:space="0"/>
              <w:right w:val="single" w:color="000000" w:sz="4" w:space="0"/>
            </w:tcBorders>
            <w:vAlign w:val="top"/>
          </w:tcPr>
          <w:p w14:paraId="1C2CD765">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83F954">
            <w:pPr>
              <w:pStyle w:val="12"/>
              <w:jc w:val="center"/>
              <w:rPr>
                <w:rFonts w:hint="eastAsia" w:eastAsiaTheme="minorEastAsia"/>
                <w:highlight w:val="none"/>
                <w:lang w:eastAsia="zh-CN"/>
              </w:rPr>
            </w:pPr>
            <w:r>
              <w:rPr>
                <w:rFonts w:hint="eastAsia"/>
                <w:sz w:val="21"/>
                <w:highlight w:val="none"/>
                <w:lang w:eastAsia="zh-CN"/>
              </w:rPr>
              <w:t>服务水平</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E6F6A0">
            <w:pPr>
              <w:pStyle w:val="12"/>
              <w:rPr>
                <w:rFonts w:hint="eastAsia" w:eastAsiaTheme="minorEastAsia"/>
                <w:highlight w:val="none"/>
                <w:lang w:eastAsia="zh-CN"/>
              </w:rPr>
            </w:pPr>
            <w:r>
              <w:rPr>
                <w:rFonts w:hint="eastAsia" w:ascii="宋体" w:hAnsi="宋体" w:eastAsia="宋体" w:cs="宋体"/>
                <w:sz w:val="21"/>
                <w:szCs w:val="21"/>
                <w:highlight w:val="none"/>
                <w:lang w:eastAsia="zh-CN"/>
              </w:rPr>
              <w:t>运维</w:t>
            </w:r>
            <w:r>
              <w:rPr>
                <w:rStyle w:val="11"/>
                <w:rFonts w:hint="eastAsia" w:ascii="宋体" w:hAnsi="宋体" w:eastAsia="宋体" w:cs="宋体"/>
                <w:kern w:val="2"/>
                <w:highlight w:val="none"/>
                <w:lang w:eastAsia="zh-CN"/>
              </w:rPr>
              <w:t>工作专业、中肯。</w:t>
            </w:r>
            <w:r>
              <w:rPr>
                <w:rFonts w:hint="eastAsia"/>
                <w:sz w:val="21"/>
                <w:highlight w:val="none"/>
                <w:lang w:eastAsia="zh-CN"/>
              </w:rPr>
              <w:t>（</w:t>
            </w:r>
            <w:r>
              <w:rPr>
                <w:rFonts w:hint="eastAsia"/>
                <w:sz w:val="21"/>
                <w:highlight w:val="none"/>
                <w:lang w:val="en-US" w:eastAsia="zh-CN"/>
              </w:rPr>
              <w:t>2分</w:t>
            </w:r>
            <w:r>
              <w:rPr>
                <w:rFonts w:hint="eastAsia"/>
                <w:sz w:val="21"/>
                <w:highlight w:val="none"/>
                <w:lang w:eastAsia="zh-CN"/>
              </w:rPr>
              <w:t>）</w:t>
            </w:r>
          </w:p>
        </w:tc>
        <w:tc>
          <w:tcPr>
            <w:tcW w:w="840" w:type="dxa"/>
            <w:vMerge w:val="continue"/>
            <w:tcBorders>
              <w:top w:val="nil"/>
              <w:left w:val="nil"/>
              <w:bottom w:val="single" w:color="000000" w:sz="4" w:space="0"/>
              <w:right w:val="single" w:color="000000" w:sz="4" w:space="0"/>
            </w:tcBorders>
            <w:vAlign w:val="top"/>
          </w:tcPr>
          <w:p w14:paraId="017604AF">
            <w:pPr>
              <w:rPr>
                <w:highlight w:val="none"/>
              </w:rPr>
            </w:pPr>
          </w:p>
        </w:tc>
        <w:tc>
          <w:tcPr>
            <w:tcW w:w="765" w:type="dxa"/>
            <w:vMerge w:val="continue"/>
            <w:tcBorders>
              <w:left w:val="nil"/>
              <w:right w:val="single" w:color="000000" w:sz="4" w:space="0"/>
            </w:tcBorders>
            <w:vAlign w:val="top"/>
          </w:tcPr>
          <w:p w14:paraId="6A007E38">
            <w:pPr>
              <w:pStyle w:val="12"/>
              <w:jc w:val="center"/>
              <w:rPr>
                <w:highlight w:val="none"/>
              </w:rPr>
            </w:pPr>
          </w:p>
        </w:tc>
      </w:tr>
      <w:tr w14:paraId="379FFD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A84498">
            <w:pPr>
              <w:pStyle w:val="12"/>
              <w:jc w:val="center"/>
              <w:rPr>
                <w:rFonts w:hint="default"/>
                <w:sz w:val="21"/>
                <w:highlight w:val="none"/>
                <w:lang w:eastAsia="zh-CN"/>
              </w:rPr>
            </w:pPr>
            <w:r>
              <w:rPr>
                <w:sz w:val="21"/>
                <w:highlight w:val="none"/>
                <w:lang w:eastAsia="zh-CN"/>
              </w:rPr>
              <w:t>24</w:t>
            </w:r>
          </w:p>
        </w:tc>
        <w:tc>
          <w:tcPr>
            <w:tcW w:w="915" w:type="dxa"/>
            <w:vMerge w:val="continue"/>
            <w:tcBorders>
              <w:top w:val="nil"/>
              <w:left w:val="nil"/>
              <w:bottom w:val="single" w:color="000000" w:sz="4" w:space="0"/>
              <w:right w:val="single" w:color="000000" w:sz="4" w:space="0"/>
            </w:tcBorders>
            <w:vAlign w:val="top"/>
          </w:tcPr>
          <w:p w14:paraId="3F2C392A">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A1FFAE">
            <w:pPr>
              <w:pStyle w:val="12"/>
              <w:jc w:val="center"/>
              <w:rPr>
                <w:rFonts w:hint="default"/>
                <w:highlight w:val="none"/>
              </w:rPr>
            </w:pPr>
            <w:r>
              <w:rPr>
                <w:rFonts w:hint="eastAsia"/>
                <w:sz w:val="21"/>
                <w:highlight w:val="none"/>
                <w:lang w:eastAsia="zh-CN"/>
              </w:rPr>
              <w:t>服务标准</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4C0D48">
            <w:pPr>
              <w:pStyle w:val="12"/>
              <w:rPr>
                <w:rFonts w:hint="default"/>
                <w:highlight w:val="none"/>
              </w:rPr>
            </w:pPr>
            <w:r>
              <w:rPr>
                <w:rFonts w:hint="eastAsia"/>
                <w:sz w:val="21"/>
                <w:highlight w:val="none"/>
                <w:lang w:eastAsia="zh-CN"/>
              </w:rPr>
              <w:t>遵守国家有关信息安全标准规范。（</w:t>
            </w:r>
            <w:r>
              <w:rPr>
                <w:rFonts w:hint="eastAsia"/>
                <w:sz w:val="21"/>
                <w:highlight w:val="none"/>
                <w:lang w:val="en-US" w:eastAsia="zh-CN"/>
              </w:rPr>
              <w:t>2分</w:t>
            </w:r>
            <w:r>
              <w:rPr>
                <w:rFonts w:hint="eastAsia"/>
                <w:sz w:val="21"/>
                <w:highlight w:val="none"/>
                <w:lang w:eastAsia="zh-CN"/>
              </w:rPr>
              <w:t>）</w:t>
            </w:r>
          </w:p>
        </w:tc>
        <w:tc>
          <w:tcPr>
            <w:tcW w:w="840" w:type="dxa"/>
            <w:vMerge w:val="continue"/>
            <w:tcBorders>
              <w:top w:val="nil"/>
              <w:left w:val="nil"/>
              <w:bottom w:val="single" w:color="000000" w:sz="4" w:space="0"/>
              <w:right w:val="single" w:color="000000" w:sz="4" w:space="0"/>
            </w:tcBorders>
            <w:vAlign w:val="top"/>
          </w:tcPr>
          <w:p w14:paraId="727FF9AF">
            <w:pPr>
              <w:rPr>
                <w:highlight w:val="none"/>
              </w:rPr>
            </w:pPr>
          </w:p>
        </w:tc>
        <w:tc>
          <w:tcPr>
            <w:tcW w:w="765" w:type="dxa"/>
            <w:vMerge w:val="continue"/>
            <w:tcBorders>
              <w:left w:val="nil"/>
              <w:right w:val="single" w:color="000000" w:sz="4" w:space="0"/>
            </w:tcBorders>
            <w:vAlign w:val="top"/>
          </w:tcPr>
          <w:p w14:paraId="25785ECE">
            <w:pPr>
              <w:pStyle w:val="12"/>
              <w:jc w:val="center"/>
              <w:rPr>
                <w:highlight w:val="none"/>
              </w:rPr>
            </w:pPr>
          </w:p>
        </w:tc>
      </w:tr>
      <w:tr w14:paraId="7ACD77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ECC96C">
            <w:pPr>
              <w:pStyle w:val="12"/>
              <w:jc w:val="center"/>
              <w:rPr>
                <w:rFonts w:hint="default"/>
                <w:highlight w:val="none"/>
                <w:lang w:eastAsia="zh-CN"/>
              </w:rPr>
            </w:pPr>
            <w:r>
              <w:rPr>
                <w:sz w:val="21"/>
                <w:highlight w:val="none"/>
                <w:lang w:eastAsia="zh-CN"/>
              </w:rPr>
              <w:t>25</w:t>
            </w:r>
          </w:p>
        </w:tc>
        <w:tc>
          <w:tcPr>
            <w:tcW w:w="915" w:type="dxa"/>
            <w:vMerge w:val="continue"/>
            <w:tcBorders>
              <w:top w:val="nil"/>
              <w:left w:val="nil"/>
              <w:bottom w:val="single" w:color="000000" w:sz="4" w:space="0"/>
              <w:right w:val="single" w:color="000000" w:sz="4" w:space="0"/>
            </w:tcBorders>
            <w:vAlign w:val="top"/>
          </w:tcPr>
          <w:p w14:paraId="789C5908">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9F30F8">
            <w:pPr>
              <w:pStyle w:val="12"/>
              <w:jc w:val="center"/>
              <w:rPr>
                <w:rFonts w:hint="eastAsia" w:eastAsiaTheme="minorEastAsia"/>
                <w:highlight w:val="none"/>
                <w:lang w:eastAsia="zh-CN"/>
              </w:rPr>
            </w:pPr>
            <w:r>
              <w:rPr>
                <w:rFonts w:hint="eastAsia"/>
                <w:sz w:val="21"/>
                <w:highlight w:val="none"/>
                <w:lang w:eastAsia="zh-CN"/>
              </w:rPr>
              <w:t>服务认知</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195866">
            <w:pPr>
              <w:pStyle w:val="12"/>
              <w:rPr>
                <w:rFonts w:hint="default"/>
                <w:highlight w:val="none"/>
              </w:rPr>
            </w:pPr>
            <w:r>
              <w:rPr>
                <w:rFonts w:hint="eastAsia"/>
                <w:sz w:val="21"/>
                <w:highlight w:val="none"/>
                <w:lang w:eastAsia="zh-CN"/>
              </w:rPr>
              <w:t>运维人员思想品德端正。（</w:t>
            </w:r>
            <w:r>
              <w:rPr>
                <w:rFonts w:hint="eastAsia"/>
                <w:sz w:val="21"/>
                <w:highlight w:val="none"/>
                <w:lang w:val="en-US" w:eastAsia="zh-CN"/>
              </w:rPr>
              <w:t>2分</w:t>
            </w:r>
            <w:r>
              <w:rPr>
                <w:rFonts w:hint="eastAsia"/>
                <w:sz w:val="21"/>
                <w:highlight w:val="none"/>
                <w:lang w:eastAsia="zh-CN"/>
              </w:rPr>
              <w:t>）</w:t>
            </w:r>
          </w:p>
        </w:tc>
        <w:tc>
          <w:tcPr>
            <w:tcW w:w="840" w:type="dxa"/>
            <w:vMerge w:val="continue"/>
            <w:tcBorders>
              <w:top w:val="nil"/>
              <w:left w:val="nil"/>
              <w:bottom w:val="single" w:color="000000" w:sz="4" w:space="0"/>
              <w:right w:val="single" w:color="000000" w:sz="4" w:space="0"/>
            </w:tcBorders>
            <w:vAlign w:val="top"/>
          </w:tcPr>
          <w:p w14:paraId="3AEE90EB">
            <w:pPr>
              <w:rPr>
                <w:highlight w:val="none"/>
              </w:rPr>
            </w:pPr>
          </w:p>
        </w:tc>
        <w:tc>
          <w:tcPr>
            <w:tcW w:w="765" w:type="dxa"/>
            <w:vMerge w:val="continue"/>
            <w:tcBorders>
              <w:left w:val="nil"/>
              <w:bottom w:val="single" w:color="000000" w:sz="4" w:space="0"/>
              <w:right w:val="single" w:color="000000" w:sz="4" w:space="0"/>
            </w:tcBorders>
            <w:vAlign w:val="top"/>
          </w:tcPr>
          <w:p w14:paraId="2E39BF8D">
            <w:pPr>
              <w:pStyle w:val="12"/>
              <w:jc w:val="center"/>
              <w:rPr>
                <w:highlight w:val="none"/>
              </w:rPr>
            </w:pPr>
          </w:p>
        </w:tc>
      </w:tr>
      <w:tr w14:paraId="5CDD74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A448D6">
            <w:pPr>
              <w:pStyle w:val="12"/>
              <w:jc w:val="center"/>
              <w:rPr>
                <w:rFonts w:hint="default"/>
                <w:highlight w:val="none"/>
                <w:lang w:eastAsia="zh-CN"/>
              </w:rPr>
            </w:pPr>
            <w:r>
              <w:rPr>
                <w:sz w:val="21"/>
                <w:highlight w:val="none"/>
                <w:lang w:eastAsia="zh-CN"/>
              </w:rPr>
              <w:t>26</w:t>
            </w:r>
          </w:p>
        </w:tc>
        <w:tc>
          <w:tcPr>
            <w:tcW w:w="5940"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2E221407">
            <w:pPr>
              <w:pStyle w:val="12"/>
              <w:rPr>
                <w:rFonts w:hint="default"/>
                <w:highlight w:val="none"/>
              </w:rPr>
            </w:pPr>
            <w:r>
              <w:rPr>
                <w:sz w:val="21"/>
                <w:highlight w:val="none"/>
              </w:rPr>
              <w:t>总分</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2B8317">
            <w:pPr>
              <w:pStyle w:val="12"/>
              <w:jc w:val="center"/>
              <w:rPr>
                <w:rFonts w:hint="default"/>
                <w:highlight w:val="none"/>
                <w:lang w:eastAsia="zh-CN"/>
              </w:rPr>
            </w:pPr>
            <w:r>
              <w:rPr>
                <w:sz w:val="21"/>
                <w:highlight w:val="none"/>
                <w:lang w:eastAsia="zh-CN"/>
              </w:rPr>
              <w:t>100</w:t>
            </w:r>
          </w:p>
        </w:tc>
        <w:tc>
          <w:tcPr>
            <w:tcW w:w="7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C68DA2">
            <w:pPr>
              <w:pStyle w:val="12"/>
              <w:jc w:val="center"/>
              <w:rPr>
                <w:rFonts w:hint="default"/>
                <w:highlight w:val="none"/>
              </w:rPr>
            </w:pPr>
          </w:p>
        </w:tc>
      </w:tr>
      <w:tr w14:paraId="6366B8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784931">
            <w:pPr>
              <w:pStyle w:val="12"/>
              <w:jc w:val="center"/>
              <w:rPr>
                <w:rFonts w:hint="default"/>
                <w:highlight w:val="none"/>
                <w:lang w:eastAsia="zh-CN"/>
              </w:rPr>
            </w:pPr>
            <w:r>
              <w:rPr>
                <w:sz w:val="21"/>
                <w:highlight w:val="none"/>
                <w:lang w:eastAsia="zh-CN"/>
              </w:rPr>
              <w:t>27</w:t>
            </w:r>
          </w:p>
        </w:tc>
        <w:tc>
          <w:tcPr>
            <w:tcW w:w="9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41A105">
            <w:pPr>
              <w:pStyle w:val="12"/>
              <w:rPr>
                <w:rFonts w:hint="default"/>
                <w:highlight w:val="none"/>
              </w:rPr>
            </w:pPr>
            <w:r>
              <w:rPr>
                <w:sz w:val="21"/>
                <w:highlight w:val="none"/>
              </w:rPr>
              <w:t>加分项</w:t>
            </w:r>
          </w:p>
        </w:tc>
        <w:tc>
          <w:tcPr>
            <w:tcW w:w="502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DC97B23">
            <w:pPr>
              <w:pStyle w:val="12"/>
              <w:rPr>
                <w:rFonts w:hint="default"/>
                <w:highlight w:val="none"/>
              </w:rPr>
            </w:pPr>
            <w:r>
              <w:rPr>
                <w:sz w:val="21"/>
                <w:highlight w:val="none"/>
              </w:rPr>
              <w:t>中标供应商配合采购人工作，获得采购人表扬，采购人可酌情加分</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9E358E">
            <w:pPr>
              <w:pStyle w:val="12"/>
              <w:jc w:val="center"/>
              <w:rPr>
                <w:rFonts w:hint="default"/>
                <w:highlight w:val="none"/>
              </w:rPr>
            </w:pPr>
          </w:p>
        </w:tc>
        <w:tc>
          <w:tcPr>
            <w:tcW w:w="7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7FB85B">
            <w:pPr>
              <w:pStyle w:val="12"/>
              <w:jc w:val="center"/>
              <w:rPr>
                <w:rFonts w:hint="default"/>
                <w:highlight w:val="none"/>
              </w:rPr>
            </w:pPr>
          </w:p>
        </w:tc>
      </w:tr>
    </w:tbl>
    <w:p w14:paraId="5B9ABA07">
      <w:pPr>
        <w:pStyle w:val="2"/>
        <w:spacing w:line="480" w:lineRule="auto"/>
        <w:ind w:firstLine="480"/>
        <w:rPr>
          <w:rFonts w:hint="eastAsia" w:eastAsia="宋体"/>
          <w:sz w:val="24"/>
          <w:szCs w:val="24"/>
          <w:highlight w:val="none"/>
          <w:lang w:val="en-US" w:eastAsia="zh-CN"/>
        </w:rPr>
      </w:pPr>
    </w:p>
    <w:p w14:paraId="1CCE54D2">
      <w:pPr>
        <w:pStyle w:val="2"/>
        <w:spacing w:line="480" w:lineRule="auto"/>
        <w:ind w:firstLine="480"/>
        <w:rPr>
          <w:rFonts w:hint="eastAsia" w:eastAsia="宋体"/>
          <w:sz w:val="24"/>
          <w:szCs w:val="24"/>
          <w:highlight w:val="none"/>
          <w:lang w:val="en-US" w:eastAsia="zh-CN"/>
        </w:rPr>
      </w:pPr>
    </w:p>
    <w:p w14:paraId="130FDCA2">
      <w:pPr>
        <w:tabs>
          <w:tab w:val="left" w:pos="709"/>
        </w:tabs>
        <w:snapToGrid w:val="0"/>
        <w:spacing w:beforeLines="0" w:afterLines="0" w:line="460" w:lineRule="exact"/>
        <w:rPr>
          <w:rFonts w:hint="eastAsia" w:ascii="宋体"/>
          <w:b/>
          <w:sz w:val="30"/>
          <w:szCs w:val="30"/>
          <w:lang w:eastAsia="zh-CN"/>
        </w:rPr>
      </w:pPr>
    </w:p>
    <w:p w14:paraId="39DCC087">
      <w:pPr>
        <w:tabs>
          <w:tab w:val="left" w:pos="709"/>
        </w:tabs>
        <w:snapToGrid w:val="0"/>
        <w:spacing w:beforeLines="0" w:afterLines="0" w:line="460" w:lineRule="exact"/>
        <w:rPr>
          <w:rFonts w:hint="eastAsia" w:ascii="宋体" w:eastAsia="宋体"/>
          <w:b/>
          <w:sz w:val="30"/>
          <w:szCs w:val="30"/>
          <w:lang w:eastAsia="zh-CN"/>
        </w:rPr>
      </w:pPr>
      <w:r>
        <w:rPr>
          <w:rFonts w:hint="eastAsia" w:ascii="宋体"/>
          <w:b/>
          <w:sz w:val="30"/>
          <w:szCs w:val="30"/>
          <w:lang w:eastAsia="zh-CN"/>
        </w:rPr>
        <w:t>四</w:t>
      </w:r>
      <w:r>
        <w:rPr>
          <w:rFonts w:hint="default" w:ascii="宋体"/>
          <w:b/>
          <w:sz w:val="30"/>
          <w:szCs w:val="30"/>
        </w:rPr>
        <w:t>、</w:t>
      </w:r>
      <w:r>
        <w:rPr>
          <w:rFonts w:hint="eastAsia" w:ascii="宋体"/>
          <w:b/>
          <w:sz w:val="30"/>
          <w:szCs w:val="30"/>
          <w:lang w:eastAsia="zh-CN"/>
        </w:rPr>
        <w:t>合同模板</w:t>
      </w:r>
    </w:p>
    <w:p w14:paraId="24D14E19">
      <w:pPr>
        <w:pStyle w:val="2"/>
        <w:spacing w:line="480" w:lineRule="auto"/>
        <w:ind w:firstLine="480"/>
        <w:rPr>
          <w:rFonts w:hint="eastAsia" w:eastAsia="宋体"/>
          <w:sz w:val="24"/>
          <w:szCs w:val="24"/>
          <w:highlight w:val="none"/>
          <w:lang w:val="en-US" w:eastAsia="zh-CN"/>
        </w:rPr>
      </w:pPr>
    </w:p>
    <w:p w14:paraId="2C970563">
      <w:pPr>
        <w:pStyle w:val="4"/>
        <w:rPr>
          <w:rFonts w:hint="eastAsia"/>
          <w:highlight w:val="none"/>
        </w:rPr>
      </w:pPr>
    </w:p>
    <w:p w14:paraId="4B5626BF">
      <w:pPr>
        <w:rPr>
          <w:rFonts w:hint="eastAsia"/>
          <w:sz w:val="24"/>
          <w:szCs w:val="24"/>
          <w:highlight w:val="none"/>
        </w:rPr>
      </w:pPr>
      <w:r>
        <w:rPr>
          <w:rFonts w:hint="eastAsia"/>
          <w:highlight w:val="none"/>
        </w:rPr>
        <w:t xml:space="preserve">                                                          </w:t>
      </w:r>
      <w:r>
        <w:rPr>
          <w:rFonts w:hint="eastAsia"/>
          <w:sz w:val="24"/>
          <w:szCs w:val="24"/>
          <w:highlight w:val="none"/>
        </w:rPr>
        <w:t>合同编号：</w:t>
      </w:r>
    </w:p>
    <w:p w14:paraId="3B1205C0">
      <w:pPr>
        <w:jc w:val="center"/>
        <w:rPr>
          <w:rFonts w:hint="eastAsia" w:eastAsia="黑体"/>
          <w:sz w:val="52"/>
          <w:highlight w:val="none"/>
        </w:rPr>
      </w:pPr>
    </w:p>
    <w:p w14:paraId="50E57D69">
      <w:pPr>
        <w:jc w:val="center"/>
        <w:rPr>
          <w:rFonts w:hint="eastAsia" w:eastAsia="黑体"/>
          <w:sz w:val="52"/>
          <w:highlight w:val="none"/>
        </w:rPr>
      </w:pPr>
    </w:p>
    <w:p w14:paraId="3C8B599C">
      <w:pPr>
        <w:jc w:val="center"/>
        <w:rPr>
          <w:rFonts w:hint="eastAsia" w:eastAsia="黑体"/>
          <w:sz w:val="52"/>
          <w:highlight w:val="none"/>
        </w:rPr>
      </w:pPr>
      <w:r>
        <w:rPr>
          <w:rFonts w:hint="eastAsia" w:eastAsia="黑体"/>
          <w:sz w:val="52"/>
          <w:highlight w:val="none"/>
        </w:rPr>
        <w:t>技 术 服 务 合 同</w:t>
      </w:r>
    </w:p>
    <w:p w14:paraId="0CC698FD">
      <w:pPr>
        <w:jc w:val="center"/>
        <w:rPr>
          <w:rFonts w:hint="eastAsia" w:eastAsia="黑体"/>
          <w:sz w:val="36"/>
          <w:highlight w:val="none"/>
        </w:rPr>
      </w:pPr>
    </w:p>
    <w:p w14:paraId="2EE9C715">
      <w:pPr>
        <w:rPr>
          <w:rFonts w:hint="eastAsia" w:ascii="宋体" w:hAnsi="宋体"/>
          <w:sz w:val="36"/>
          <w:highlight w:val="none"/>
        </w:rPr>
      </w:pPr>
    </w:p>
    <w:p w14:paraId="07DB1456">
      <w:pPr>
        <w:ind w:left="2558" w:leftChars="361" w:hanging="1800" w:hangingChars="500"/>
        <w:rPr>
          <w:rFonts w:hint="eastAsia" w:ascii="宋体" w:hAnsi="宋体"/>
          <w:sz w:val="36"/>
          <w:highlight w:val="none"/>
        </w:rPr>
      </w:pPr>
      <w:r>
        <w:rPr>
          <w:rFonts w:hint="eastAsia" w:ascii="宋体" w:hAnsi="宋体"/>
          <w:sz w:val="36"/>
          <w:highlight w:val="none"/>
        </w:rPr>
        <w:t>项目名称：</w:t>
      </w:r>
      <w:r>
        <w:rPr>
          <w:rFonts w:hint="eastAsia" w:ascii="宋体" w:hAnsi="宋体"/>
          <w:sz w:val="36"/>
          <w:highlight w:val="none"/>
          <w:lang w:eastAsia="zh-CN"/>
        </w:rPr>
        <w:t>中山市</w:t>
      </w:r>
      <w:r>
        <w:rPr>
          <w:rFonts w:hint="eastAsia" w:ascii="宋体" w:hAnsi="宋体"/>
          <w:sz w:val="36"/>
          <w:highlight w:val="none"/>
          <w:lang w:val="en-US" w:eastAsia="zh-CN"/>
        </w:rPr>
        <w:t>市政府</w:t>
      </w:r>
      <w:r>
        <w:rPr>
          <w:rFonts w:hint="eastAsia" w:ascii="宋体" w:hAnsi="宋体"/>
          <w:sz w:val="36"/>
          <w:highlight w:val="none"/>
          <w:lang w:eastAsia="zh-CN"/>
        </w:rPr>
        <w:t>大院内及中山市政务服务中心低端信息化设备维护服务</w:t>
      </w:r>
      <w:r>
        <w:rPr>
          <w:rFonts w:hint="eastAsia" w:ascii="宋体" w:hAnsi="宋体"/>
          <w:sz w:val="36"/>
          <w:highlight w:val="none"/>
        </w:rPr>
        <w:t>项目</w:t>
      </w:r>
    </w:p>
    <w:p w14:paraId="6F941EC8">
      <w:pPr>
        <w:rPr>
          <w:rFonts w:hint="eastAsia" w:ascii="宋体" w:hAnsi="宋体"/>
          <w:sz w:val="36"/>
          <w:highlight w:val="none"/>
          <w:u w:val="single"/>
        </w:rPr>
      </w:pPr>
    </w:p>
    <w:p w14:paraId="0491FDC8">
      <w:pPr>
        <w:ind w:firstLine="0" w:firstLineChars="0"/>
        <w:rPr>
          <w:rFonts w:hint="eastAsia" w:ascii="宋体" w:hAnsi="宋体" w:eastAsia="宋体"/>
          <w:sz w:val="36"/>
          <w:highlight w:val="none"/>
          <w:u w:val="single"/>
          <w:lang w:eastAsia="zh-CN"/>
        </w:rPr>
      </w:pPr>
      <w:r>
        <w:rPr>
          <w:rFonts w:hint="eastAsia" w:ascii="宋体" w:hAnsi="宋体"/>
          <w:sz w:val="36"/>
          <w:highlight w:val="none"/>
          <w:lang w:eastAsia="zh-CN"/>
        </w:rPr>
        <w:t>甲方（</w:t>
      </w:r>
      <w:r>
        <w:rPr>
          <w:rFonts w:hint="eastAsia" w:ascii="宋体" w:hAnsi="宋体"/>
          <w:sz w:val="36"/>
          <w:highlight w:val="none"/>
        </w:rPr>
        <w:t>委 托 方</w:t>
      </w:r>
      <w:r>
        <w:rPr>
          <w:rFonts w:hint="eastAsia" w:ascii="宋体" w:hAnsi="宋体"/>
          <w:sz w:val="36"/>
          <w:highlight w:val="none"/>
          <w:lang w:eastAsia="zh-CN"/>
        </w:rPr>
        <w:t>）</w:t>
      </w:r>
      <w:r>
        <w:rPr>
          <w:rFonts w:hint="eastAsia" w:ascii="宋体" w:hAnsi="宋体"/>
          <w:sz w:val="36"/>
          <w:highlight w:val="none"/>
        </w:rPr>
        <w:t>：</w:t>
      </w:r>
      <w:r>
        <w:rPr>
          <w:rFonts w:hint="eastAsia" w:ascii="宋体" w:hAnsi="宋体"/>
          <w:sz w:val="36"/>
          <w:highlight w:val="none"/>
          <w:lang w:eastAsia="zh-CN"/>
        </w:rPr>
        <w:t>中山市政务服务和数据管理局</w:t>
      </w:r>
    </w:p>
    <w:p w14:paraId="006E3FA7">
      <w:pPr>
        <w:rPr>
          <w:rFonts w:hint="eastAsia" w:ascii="宋体" w:hAnsi="宋体"/>
          <w:sz w:val="36"/>
          <w:highlight w:val="none"/>
          <w:u w:val="single"/>
        </w:rPr>
      </w:pPr>
    </w:p>
    <w:p w14:paraId="0B10D062">
      <w:pPr>
        <w:ind w:firstLine="0" w:firstLineChars="0"/>
        <w:rPr>
          <w:rFonts w:hint="eastAsia" w:ascii="宋体"/>
          <w:sz w:val="36"/>
          <w:highlight w:val="none"/>
        </w:rPr>
      </w:pPr>
      <w:r>
        <w:rPr>
          <w:rFonts w:hint="eastAsia" w:ascii="宋体" w:hAnsi="宋体"/>
          <w:sz w:val="36"/>
          <w:highlight w:val="none"/>
          <w:lang w:eastAsia="zh-CN"/>
        </w:rPr>
        <w:t>乙方（</w:t>
      </w:r>
      <w:r>
        <w:rPr>
          <w:rFonts w:hint="eastAsia" w:ascii="宋体" w:hAnsi="宋体"/>
          <w:sz w:val="36"/>
          <w:highlight w:val="none"/>
        </w:rPr>
        <w:t>受 托</w:t>
      </w:r>
      <w:r>
        <w:rPr>
          <w:rFonts w:ascii="宋体" w:hAnsi="宋体"/>
          <w:sz w:val="36"/>
          <w:highlight w:val="none"/>
        </w:rPr>
        <w:t xml:space="preserve"> </w:t>
      </w:r>
      <w:r>
        <w:rPr>
          <w:rFonts w:hint="eastAsia" w:ascii="宋体" w:hAnsi="宋体"/>
          <w:sz w:val="36"/>
          <w:highlight w:val="none"/>
        </w:rPr>
        <w:t>方</w:t>
      </w:r>
      <w:r>
        <w:rPr>
          <w:rFonts w:hint="eastAsia" w:ascii="宋体" w:hAnsi="宋体"/>
          <w:sz w:val="36"/>
          <w:highlight w:val="none"/>
          <w:lang w:eastAsia="zh-CN"/>
        </w:rPr>
        <w:t>）</w:t>
      </w:r>
      <w:r>
        <w:rPr>
          <w:rFonts w:hint="eastAsia" w:ascii="宋体" w:hAnsi="宋体"/>
          <w:sz w:val="36"/>
          <w:highlight w:val="none"/>
        </w:rPr>
        <w:t>：</w:t>
      </w:r>
    </w:p>
    <w:p w14:paraId="01223533">
      <w:pPr>
        <w:rPr>
          <w:rFonts w:hint="eastAsia" w:ascii="宋体"/>
          <w:sz w:val="36"/>
          <w:highlight w:val="none"/>
          <w:u w:val="single"/>
        </w:rPr>
      </w:pPr>
    </w:p>
    <w:p w14:paraId="57684839">
      <w:pPr>
        <w:ind w:firstLine="720" w:firstLineChars="200"/>
        <w:rPr>
          <w:rFonts w:hint="eastAsia" w:ascii="宋体"/>
          <w:sz w:val="36"/>
          <w:highlight w:val="none"/>
        </w:rPr>
      </w:pPr>
    </w:p>
    <w:p w14:paraId="1DACC45C">
      <w:pPr>
        <w:ind w:firstLine="720" w:firstLineChars="200"/>
        <w:rPr>
          <w:rFonts w:hint="eastAsia" w:ascii="宋体"/>
          <w:sz w:val="36"/>
          <w:highlight w:val="none"/>
        </w:rPr>
      </w:pPr>
    </w:p>
    <w:p w14:paraId="01B62173">
      <w:pPr>
        <w:ind w:firstLine="720" w:firstLineChars="200"/>
        <w:rPr>
          <w:rFonts w:hint="eastAsia" w:ascii="宋体"/>
          <w:sz w:val="36"/>
          <w:highlight w:val="none"/>
        </w:rPr>
      </w:pPr>
    </w:p>
    <w:p w14:paraId="3C5DF375">
      <w:pPr>
        <w:ind w:firstLine="720" w:firstLineChars="200"/>
        <w:rPr>
          <w:rFonts w:hint="eastAsia" w:ascii="宋体"/>
          <w:sz w:val="36"/>
          <w:highlight w:val="none"/>
        </w:rPr>
      </w:pPr>
    </w:p>
    <w:p w14:paraId="157D4DA4">
      <w:pPr>
        <w:ind w:firstLine="360" w:firstLineChars="100"/>
        <w:rPr>
          <w:rFonts w:hint="eastAsia" w:ascii="宋体"/>
          <w:sz w:val="36"/>
          <w:highlight w:val="none"/>
        </w:rPr>
      </w:pPr>
      <w:r>
        <w:rPr>
          <w:rFonts w:hint="eastAsia" w:ascii="宋体"/>
          <w:sz w:val="36"/>
          <w:highlight w:val="none"/>
        </w:rPr>
        <w:t>签订时间：20</w:t>
      </w:r>
      <w:r>
        <w:rPr>
          <w:rFonts w:ascii="宋体"/>
          <w:sz w:val="36"/>
          <w:highlight w:val="none"/>
        </w:rPr>
        <w:t>2</w:t>
      </w:r>
      <w:r>
        <w:rPr>
          <w:rFonts w:hint="eastAsia" w:ascii="宋体"/>
          <w:sz w:val="36"/>
          <w:highlight w:val="none"/>
          <w:lang w:val="en-US" w:eastAsia="zh-CN"/>
        </w:rPr>
        <w:t>6</w:t>
      </w:r>
      <w:r>
        <w:rPr>
          <w:rFonts w:hint="eastAsia" w:ascii="宋体"/>
          <w:sz w:val="36"/>
          <w:highlight w:val="none"/>
        </w:rPr>
        <w:t>年</w:t>
      </w:r>
      <w:r>
        <w:rPr>
          <w:rFonts w:hint="eastAsia" w:ascii="宋体"/>
          <w:sz w:val="36"/>
          <w:highlight w:val="none"/>
          <w:lang w:val="en-US" w:eastAsia="zh-CN"/>
        </w:rPr>
        <w:t xml:space="preserve"> </w:t>
      </w:r>
      <w:r>
        <w:rPr>
          <w:rFonts w:hint="eastAsia" w:ascii="宋体"/>
          <w:sz w:val="36"/>
          <w:highlight w:val="none"/>
        </w:rPr>
        <w:t>月</w:t>
      </w:r>
      <w:r>
        <w:rPr>
          <w:rFonts w:hint="eastAsia" w:ascii="宋体"/>
          <w:sz w:val="36"/>
          <w:highlight w:val="none"/>
          <w:lang w:val="en-US" w:eastAsia="zh-CN"/>
        </w:rPr>
        <w:t xml:space="preserve"> </w:t>
      </w:r>
      <w:r>
        <w:rPr>
          <w:rFonts w:hint="eastAsia" w:ascii="宋体"/>
          <w:sz w:val="36"/>
          <w:highlight w:val="none"/>
        </w:rPr>
        <w:t>日</w:t>
      </w:r>
    </w:p>
    <w:p w14:paraId="7BF20AC5">
      <w:pPr>
        <w:ind w:firstLine="360" w:firstLineChars="100"/>
        <w:rPr>
          <w:rFonts w:hint="eastAsia" w:ascii="宋体"/>
          <w:sz w:val="36"/>
          <w:highlight w:val="none"/>
        </w:rPr>
      </w:pPr>
      <w:r>
        <w:rPr>
          <w:rFonts w:hint="eastAsia" w:ascii="宋体"/>
          <w:sz w:val="36"/>
          <w:highlight w:val="none"/>
        </w:rPr>
        <w:t xml:space="preserve">签订地点：广东省中山市 </w:t>
      </w:r>
    </w:p>
    <w:p w14:paraId="0C31E2E9">
      <w:pPr>
        <w:ind w:firstLine="720" w:firstLineChars="200"/>
        <w:rPr>
          <w:rFonts w:hint="eastAsia" w:ascii="宋体"/>
          <w:sz w:val="36"/>
          <w:highlight w:val="none"/>
        </w:rPr>
      </w:pPr>
    </w:p>
    <w:p w14:paraId="6645DC77">
      <w:pPr>
        <w:ind w:firstLine="720" w:firstLineChars="200"/>
        <w:rPr>
          <w:rFonts w:hint="eastAsia" w:ascii="宋体"/>
          <w:sz w:val="36"/>
          <w:highlight w:val="none"/>
        </w:rPr>
      </w:pPr>
    </w:p>
    <w:p w14:paraId="2DC4E109">
      <w:pPr>
        <w:jc w:val="center"/>
        <w:rPr>
          <w:rFonts w:hint="eastAsia" w:eastAsia="黑体"/>
          <w:sz w:val="44"/>
          <w:highlight w:val="none"/>
        </w:rPr>
      </w:pPr>
      <w:r>
        <w:rPr>
          <w:rFonts w:hint="eastAsia" w:eastAsia="黑体"/>
          <w:sz w:val="44"/>
          <w:highlight w:val="none"/>
        </w:rPr>
        <w:t>技  术  服  务  合  同</w:t>
      </w:r>
    </w:p>
    <w:p w14:paraId="60389835">
      <w:pPr>
        <w:tabs>
          <w:tab w:val="left" w:pos="1080"/>
          <w:tab w:val="left" w:pos="1440"/>
        </w:tabs>
        <w:rPr>
          <w:rFonts w:hint="eastAsia" w:eastAsia="黑体"/>
          <w:sz w:val="44"/>
          <w:highlight w:val="none"/>
        </w:rPr>
      </w:pPr>
    </w:p>
    <w:p w14:paraId="6F04AFA8">
      <w:pPr>
        <w:spacing w:line="480" w:lineRule="auto"/>
        <w:ind w:firstLine="480" w:firstLineChars="200"/>
        <w:rPr>
          <w:rFonts w:hint="eastAsia" w:eastAsia="宋体"/>
          <w:sz w:val="24"/>
          <w:szCs w:val="24"/>
          <w:highlight w:val="none"/>
          <w:u w:val="single"/>
          <w:lang w:eastAsia="zh-CN"/>
        </w:rPr>
      </w:pPr>
      <w:r>
        <w:rPr>
          <w:rFonts w:hint="eastAsia"/>
          <w:sz w:val="24"/>
          <w:szCs w:val="24"/>
          <w:highlight w:val="none"/>
        </w:rPr>
        <w:t>甲方（委托方）：</w:t>
      </w:r>
      <w:r>
        <w:rPr>
          <w:rFonts w:hint="eastAsia"/>
          <w:sz w:val="24"/>
          <w:szCs w:val="24"/>
          <w:highlight w:val="none"/>
          <w:lang w:eastAsia="zh-CN"/>
        </w:rPr>
        <w:t>中山市政务服务和数据管理局</w:t>
      </w:r>
    </w:p>
    <w:p w14:paraId="0A1F67B8">
      <w:pPr>
        <w:spacing w:line="480" w:lineRule="auto"/>
        <w:ind w:firstLine="480" w:firstLineChars="200"/>
        <w:rPr>
          <w:rFonts w:hint="default" w:eastAsia="宋体"/>
          <w:sz w:val="24"/>
          <w:szCs w:val="24"/>
          <w:highlight w:val="none"/>
          <w:u w:val="single"/>
          <w:lang w:val="en-US" w:eastAsia="zh-CN"/>
        </w:rPr>
      </w:pPr>
      <w:r>
        <w:rPr>
          <w:rFonts w:hint="eastAsia"/>
          <w:sz w:val="24"/>
          <w:szCs w:val="24"/>
          <w:highlight w:val="none"/>
        </w:rPr>
        <w:t>住  所  地：</w:t>
      </w:r>
      <w:r>
        <w:rPr>
          <w:rFonts w:hint="eastAsia" w:ascii="Times New Roman" w:hAnsi="Times New Roman" w:eastAsia="宋体" w:cs="Times New Roman"/>
          <w:b w:val="0"/>
          <w:i w:val="0"/>
          <w:caps w:val="0"/>
          <w:spacing w:val="0"/>
          <w:sz w:val="24"/>
          <w:szCs w:val="24"/>
          <w:highlight w:val="none"/>
        </w:rPr>
        <w:t>中山市东区</w:t>
      </w:r>
      <w:r>
        <w:rPr>
          <w:rFonts w:hint="eastAsia" w:ascii="Times New Roman" w:hAnsi="Times New Roman" w:eastAsia="宋体" w:cs="Times New Roman"/>
          <w:b w:val="0"/>
          <w:i w:val="0"/>
          <w:caps w:val="0"/>
          <w:spacing w:val="0"/>
          <w:sz w:val="24"/>
          <w:szCs w:val="24"/>
          <w:highlight w:val="none"/>
          <w:lang w:eastAsia="zh-CN"/>
        </w:rPr>
        <w:t>兴文路</w:t>
      </w:r>
      <w:r>
        <w:rPr>
          <w:rFonts w:hint="eastAsia" w:ascii="Times New Roman" w:hAnsi="Times New Roman" w:eastAsia="宋体" w:cs="Times New Roman"/>
          <w:b w:val="0"/>
          <w:i w:val="0"/>
          <w:caps w:val="0"/>
          <w:spacing w:val="0"/>
          <w:sz w:val="24"/>
          <w:szCs w:val="24"/>
          <w:highlight w:val="none"/>
          <w:lang w:val="en-US" w:eastAsia="zh-CN"/>
        </w:rPr>
        <w:t>7号档案馆附楼3楼</w:t>
      </w:r>
    </w:p>
    <w:p w14:paraId="5570764C">
      <w:pPr>
        <w:spacing w:line="480" w:lineRule="auto"/>
        <w:ind w:firstLine="480" w:firstLineChars="200"/>
        <w:rPr>
          <w:rFonts w:hint="eastAsia" w:eastAsia="宋体"/>
          <w:sz w:val="24"/>
          <w:szCs w:val="24"/>
          <w:highlight w:val="none"/>
          <w:u w:val="single"/>
          <w:lang w:eastAsia="zh-CN"/>
        </w:rPr>
      </w:pPr>
      <w:r>
        <w:rPr>
          <w:rFonts w:hint="eastAsia"/>
          <w:sz w:val="24"/>
          <w:szCs w:val="24"/>
          <w:highlight w:val="none"/>
        </w:rPr>
        <w:t>法定代表人／委托代理人：</w:t>
      </w:r>
    </w:p>
    <w:p w14:paraId="4C359420">
      <w:pPr>
        <w:tabs>
          <w:tab w:val="left" w:pos="1050"/>
        </w:tabs>
        <w:spacing w:line="480" w:lineRule="auto"/>
        <w:ind w:firstLine="480" w:firstLineChars="200"/>
        <w:rPr>
          <w:rFonts w:hint="eastAsia"/>
          <w:sz w:val="24"/>
          <w:szCs w:val="24"/>
          <w:highlight w:val="none"/>
          <w:u w:val="single"/>
        </w:rPr>
      </w:pPr>
      <w:r>
        <w:rPr>
          <w:rFonts w:hint="eastAsia"/>
          <w:sz w:val="24"/>
          <w:szCs w:val="24"/>
          <w:highlight w:val="none"/>
        </w:rPr>
        <w:t>项目联系人：</w:t>
      </w:r>
    </w:p>
    <w:p w14:paraId="1431FCC0">
      <w:pPr>
        <w:spacing w:line="480" w:lineRule="auto"/>
        <w:ind w:firstLine="480" w:firstLineChars="200"/>
        <w:rPr>
          <w:rFonts w:hint="eastAsia"/>
          <w:sz w:val="24"/>
          <w:szCs w:val="24"/>
          <w:highlight w:val="none"/>
        </w:rPr>
      </w:pPr>
      <w:r>
        <w:rPr>
          <w:rFonts w:hint="eastAsia"/>
          <w:sz w:val="24"/>
          <w:szCs w:val="24"/>
          <w:highlight w:val="none"/>
        </w:rPr>
        <w:t>联系方式  ：</w:t>
      </w:r>
    </w:p>
    <w:p w14:paraId="1B8C6BF0">
      <w:pPr>
        <w:tabs>
          <w:tab w:val="left" w:pos="8100"/>
        </w:tabs>
        <w:spacing w:line="480" w:lineRule="auto"/>
        <w:ind w:firstLine="480" w:firstLineChars="200"/>
        <w:rPr>
          <w:rFonts w:hint="eastAsia"/>
          <w:sz w:val="24"/>
          <w:szCs w:val="24"/>
          <w:highlight w:val="none"/>
          <w:u w:val="single"/>
        </w:rPr>
      </w:pPr>
      <w:r>
        <w:rPr>
          <w:rFonts w:hint="eastAsia"/>
          <w:sz w:val="24"/>
          <w:szCs w:val="24"/>
          <w:highlight w:val="none"/>
        </w:rPr>
        <w:t>通讯地址  ：</w:t>
      </w:r>
      <w:r>
        <w:rPr>
          <w:rFonts w:hint="eastAsia" w:ascii="Times New Roman" w:hAnsi="Times New Roman" w:eastAsia="宋体" w:cs="Times New Roman"/>
          <w:b w:val="0"/>
          <w:i w:val="0"/>
          <w:caps w:val="0"/>
          <w:spacing w:val="0"/>
          <w:sz w:val="24"/>
          <w:szCs w:val="24"/>
          <w:highlight w:val="none"/>
        </w:rPr>
        <w:t>中山市东区</w:t>
      </w:r>
      <w:r>
        <w:rPr>
          <w:rFonts w:hint="eastAsia" w:ascii="Times New Roman" w:hAnsi="Times New Roman" w:eastAsia="宋体" w:cs="Times New Roman"/>
          <w:b w:val="0"/>
          <w:i w:val="0"/>
          <w:caps w:val="0"/>
          <w:spacing w:val="0"/>
          <w:sz w:val="24"/>
          <w:szCs w:val="24"/>
          <w:highlight w:val="none"/>
          <w:lang w:eastAsia="zh-CN"/>
        </w:rPr>
        <w:t>兴文路</w:t>
      </w:r>
      <w:r>
        <w:rPr>
          <w:rFonts w:hint="eastAsia" w:ascii="Times New Roman" w:hAnsi="Times New Roman" w:eastAsia="宋体" w:cs="Times New Roman"/>
          <w:b w:val="0"/>
          <w:i w:val="0"/>
          <w:caps w:val="0"/>
          <w:spacing w:val="0"/>
          <w:sz w:val="24"/>
          <w:szCs w:val="24"/>
          <w:highlight w:val="none"/>
          <w:lang w:val="en-US" w:eastAsia="zh-CN"/>
        </w:rPr>
        <w:t>7号档案馆附楼3楼</w:t>
      </w:r>
    </w:p>
    <w:p w14:paraId="237FA03D">
      <w:pPr>
        <w:spacing w:line="480" w:lineRule="auto"/>
        <w:ind w:firstLine="480" w:firstLineChars="200"/>
        <w:rPr>
          <w:rFonts w:hint="eastAsia"/>
          <w:sz w:val="24"/>
          <w:szCs w:val="24"/>
          <w:highlight w:val="none"/>
        </w:rPr>
      </w:pPr>
      <w:r>
        <w:rPr>
          <w:rFonts w:hint="eastAsia"/>
          <w:sz w:val="24"/>
          <w:szCs w:val="24"/>
          <w:highlight w:val="none"/>
        </w:rPr>
        <w:t>电    话：</w:t>
      </w:r>
      <w:r>
        <w:rPr>
          <w:sz w:val="24"/>
          <w:szCs w:val="24"/>
          <w:highlight w:val="none"/>
        </w:rPr>
        <w:t xml:space="preserve"> </w:t>
      </w:r>
      <w:r>
        <w:rPr>
          <w:rFonts w:hint="eastAsia"/>
          <w:sz w:val="24"/>
          <w:szCs w:val="24"/>
          <w:highlight w:val="none"/>
        </w:rPr>
        <w:t xml:space="preserve">  </w:t>
      </w:r>
    </w:p>
    <w:p w14:paraId="484B2C02">
      <w:pPr>
        <w:spacing w:line="480" w:lineRule="auto"/>
        <w:ind w:firstLine="480" w:firstLineChars="200"/>
        <w:rPr>
          <w:rFonts w:hint="default" w:eastAsia="宋体"/>
          <w:sz w:val="24"/>
          <w:szCs w:val="24"/>
          <w:highlight w:val="none"/>
          <w:lang w:val="en-US" w:eastAsia="zh-CN"/>
        </w:rPr>
      </w:pPr>
      <w:r>
        <w:rPr>
          <w:rFonts w:hint="eastAsia"/>
          <w:sz w:val="24"/>
          <w:szCs w:val="24"/>
          <w:highlight w:val="none"/>
        </w:rPr>
        <w:t>电子信箱：</w:t>
      </w:r>
      <w:r>
        <w:rPr>
          <w:sz w:val="24"/>
          <w:szCs w:val="24"/>
          <w:highlight w:val="none"/>
        </w:rPr>
        <w:t xml:space="preserve"> </w:t>
      </w:r>
    </w:p>
    <w:p w14:paraId="5CF79EAE">
      <w:pPr>
        <w:spacing w:line="480" w:lineRule="auto"/>
        <w:ind w:firstLine="480" w:firstLineChars="200"/>
        <w:rPr>
          <w:rFonts w:hint="eastAsia"/>
          <w:sz w:val="24"/>
          <w:szCs w:val="24"/>
          <w:highlight w:val="none"/>
        </w:rPr>
      </w:pPr>
    </w:p>
    <w:p w14:paraId="19AFC42A">
      <w:pPr>
        <w:spacing w:line="480" w:lineRule="auto"/>
        <w:ind w:firstLine="480" w:firstLineChars="200"/>
        <w:rPr>
          <w:rFonts w:hint="eastAsia"/>
          <w:sz w:val="24"/>
          <w:szCs w:val="24"/>
          <w:highlight w:val="none"/>
          <w:u w:val="single"/>
        </w:rPr>
      </w:pPr>
      <w:r>
        <w:rPr>
          <w:rFonts w:hint="eastAsia"/>
          <w:sz w:val="24"/>
          <w:szCs w:val="24"/>
          <w:highlight w:val="none"/>
        </w:rPr>
        <w:t>乙方（受托方）：</w:t>
      </w:r>
    </w:p>
    <w:p w14:paraId="58D7374C">
      <w:pPr>
        <w:spacing w:line="480" w:lineRule="auto"/>
        <w:ind w:firstLine="480" w:firstLineChars="200"/>
        <w:rPr>
          <w:rFonts w:hint="eastAsia"/>
          <w:sz w:val="24"/>
          <w:szCs w:val="24"/>
          <w:highlight w:val="none"/>
          <w:u w:val="single"/>
        </w:rPr>
      </w:pPr>
      <w:r>
        <w:rPr>
          <w:rFonts w:hint="eastAsia"/>
          <w:sz w:val="24"/>
          <w:szCs w:val="24"/>
          <w:highlight w:val="none"/>
        </w:rPr>
        <w:t>住  所  地：</w:t>
      </w:r>
    </w:p>
    <w:p w14:paraId="63DBDF6D">
      <w:pPr>
        <w:spacing w:line="480" w:lineRule="auto"/>
        <w:ind w:firstLine="480" w:firstLineChars="200"/>
        <w:rPr>
          <w:rFonts w:hint="eastAsia"/>
          <w:sz w:val="24"/>
          <w:szCs w:val="24"/>
          <w:highlight w:val="none"/>
          <w:u w:val="single"/>
        </w:rPr>
      </w:pPr>
      <w:r>
        <w:rPr>
          <w:rFonts w:hint="eastAsia"/>
          <w:sz w:val="24"/>
          <w:szCs w:val="24"/>
          <w:highlight w:val="none"/>
        </w:rPr>
        <w:t>法定代表人／委托代理人：</w:t>
      </w:r>
    </w:p>
    <w:p w14:paraId="12004D1A">
      <w:pPr>
        <w:spacing w:line="480" w:lineRule="auto"/>
        <w:ind w:firstLine="480" w:firstLineChars="200"/>
        <w:rPr>
          <w:rFonts w:hint="eastAsia" w:eastAsia="宋体"/>
          <w:sz w:val="24"/>
          <w:szCs w:val="24"/>
          <w:highlight w:val="none"/>
          <w:u w:val="single"/>
          <w:lang w:val="en-US" w:eastAsia="zh-CN"/>
        </w:rPr>
      </w:pPr>
      <w:r>
        <w:rPr>
          <w:rFonts w:hint="eastAsia"/>
          <w:sz w:val="24"/>
          <w:szCs w:val="24"/>
          <w:highlight w:val="none"/>
        </w:rPr>
        <w:t>项目联系人：</w:t>
      </w:r>
      <w:r>
        <w:rPr>
          <w:rFonts w:hint="eastAsia"/>
          <w:sz w:val="24"/>
          <w:szCs w:val="24"/>
          <w:highlight w:val="none"/>
          <w:lang w:val="en-US" w:eastAsia="zh-CN"/>
        </w:rPr>
        <w:t xml:space="preserve"> </w:t>
      </w:r>
    </w:p>
    <w:p w14:paraId="380AEF0B">
      <w:pPr>
        <w:spacing w:line="480" w:lineRule="auto"/>
        <w:ind w:firstLine="480" w:firstLineChars="200"/>
        <w:rPr>
          <w:rFonts w:hint="eastAsia"/>
          <w:sz w:val="24"/>
          <w:szCs w:val="24"/>
          <w:highlight w:val="none"/>
        </w:rPr>
      </w:pPr>
      <w:r>
        <w:rPr>
          <w:rFonts w:hint="eastAsia"/>
          <w:sz w:val="24"/>
          <w:szCs w:val="24"/>
          <w:highlight w:val="none"/>
        </w:rPr>
        <w:t>联系方式  ：</w:t>
      </w:r>
    </w:p>
    <w:p w14:paraId="550DF36F">
      <w:pPr>
        <w:tabs>
          <w:tab w:val="left" w:pos="8100"/>
        </w:tabs>
        <w:spacing w:line="480" w:lineRule="auto"/>
        <w:ind w:firstLine="480" w:firstLineChars="200"/>
        <w:rPr>
          <w:rFonts w:hint="eastAsia"/>
          <w:sz w:val="24"/>
          <w:szCs w:val="24"/>
          <w:highlight w:val="none"/>
          <w:u w:val="single"/>
        </w:rPr>
      </w:pPr>
      <w:r>
        <w:rPr>
          <w:rFonts w:hint="eastAsia"/>
          <w:sz w:val="24"/>
          <w:szCs w:val="24"/>
          <w:highlight w:val="none"/>
        </w:rPr>
        <w:t>通讯地址  ：</w:t>
      </w:r>
    </w:p>
    <w:p w14:paraId="607BB9E7">
      <w:pPr>
        <w:spacing w:line="480" w:lineRule="auto"/>
        <w:ind w:firstLine="480" w:firstLineChars="200"/>
        <w:rPr>
          <w:rFonts w:hint="eastAsia"/>
          <w:sz w:val="24"/>
          <w:szCs w:val="24"/>
          <w:highlight w:val="none"/>
          <w:u w:val="single"/>
        </w:rPr>
      </w:pPr>
      <w:r>
        <w:rPr>
          <w:rFonts w:hint="eastAsia"/>
          <w:sz w:val="24"/>
          <w:szCs w:val="24"/>
          <w:highlight w:val="none"/>
        </w:rPr>
        <w:t>电    话：</w:t>
      </w:r>
      <w:r>
        <w:rPr>
          <w:rFonts w:hint="eastAsia"/>
          <w:sz w:val="24"/>
          <w:szCs w:val="24"/>
          <w:highlight w:val="none"/>
          <w:lang w:val="en-US" w:eastAsia="zh-CN"/>
        </w:rPr>
        <w:t xml:space="preserve">          </w:t>
      </w:r>
      <w:r>
        <w:rPr>
          <w:rFonts w:hint="eastAsia"/>
          <w:sz w:val="24"/>
          <w:szCs w:val="24"/>
          <w:highlight w:val="none"/>
        </w:rPr>
        <w:t xml:space="preserve">   传真：</w:t>
      </w:r>
    </w:p>
    <w:p w14:paraId="18654BA6">
      <w:pPr>
        <w:spacing w:line="480" w:lineRule="auto"/>
        <w:ind w:left="-260" w:leftChars="-124" w:firstLine="720" w:firstLineChars="300"/>
        <w:rPr>
          <w:rFonts w:hint="eastAsia"/>
          <w:sz w:val="24"/>
          <w:szCs w:val="24"/>
          <w:highlight w:val="none"/>
          <w:u w:val="single"/>
        </w:rPr>
      </w:pPr>
      <w:r>
        <w:rPr>
          <w:rFonts w:hint="eastAsia"/>
          <w:sz w:val="24"/>
          <w:szCs w:val="24"/>
          <w:highlight w:val="none"/>
        </w:rPr>
        <w:t>电子信箱  ：</w:t>
      </w:r>
    </w:p>
    <w:p w14:paraId="294FB8A2">
      <w:pPr>
        <w:spacing w:line="480" w:lineRule="auto"/>
        <w:ind w:left="-260" w:leftChars="-124" w:firstLine="720" w:firstLineChars="300"/>
        <w:rPr>
          <w:rFonts w:hint="eastAsia"/>
          <w:sz w:val="24"/>
          <w:szCs w:val="24"/>
          <w:highlight w:val="none"/>
        </w:rPr>
      </w:pPr>
      <w:r>
        <w:rPr>
          <w:rFonts w:hint="eastAsia"/>
          <w:sz w:val="24"/>
          <w:szCs w:val="24"/>
          <w:highlight w:val="none"/>
        </w:rPr>
        <w:t xml:space="preserve">开 户 行： </w:t>
      </w:r>
    </w:p>
    <w:p w14:paraId="7B4DF6BF">
      <w:pPr>
        <w:spacing w:line="480" w:lineRule="auto"/>
        <w:ind w:left="-260" w:leftChars="-124" w:firstLine="720" w:firstLineChars="300"/>
        <w:rPr>
          <w:rFonts w:hint="eastAsia"/>
          <w:sz w:val="24"/>
          <w:szCs w:val="24"/>
          <w:highlight w:val="none"/>
          <w:u w:val="single"/>
        </w:rPr>
      </w:pPr>
      <w:r>
        <w:rPr>
          <w:rFonts w:hint="eastAsia"/>
          <w:sz w:val="24"/>
          <w:szCs w:val="24"/>
          <w:highlight w:val="none"/>
        </w:rPr>
        <w:t xml:space="preserve">账    号： </w:t>
      </w:r>
    </w:p>
    <w:p w14:paraId="11123096">
      <w:pPr>
        <w:rPr>
          <w:rFonts w:hint="eastAsia"/>
          <w:sz w:val="24"/>
          <w:szCs w:val="24"/>
          <w:highlight w:val="none"/>
          <w:u w:val="single"/>
        </w:rPr>
      </w:pPr>
    </w:p>
    <w:p w14:paraId="58F4B577">
      <w:pPr>
        <w:rPr>
          <w:rFonts w:hint="eastAsia"/>
          <w:sz w:val="24"/>
          <w:szCs w:val="24"/>
          <w:highlight w:val="none"/>
          <w:u w:val="single"/>
        </w:rPr>
      </w:pPr>
    </w:p>
    <w:p w14:paraId="342868DB">
      <w:pPr>
        <w:spacing w:line="500" w:lineRule="exact"/>
        <w:ind w:firstLine="480" w:firstLineChars="200"/>
        <w:rPr>
          <w:rFonts w:hint="eastAsia"/>
          <w:sz w:val="24"/>
          <w:szCs w:val="24"/>
          <w:highlight w:val="none"/>
        </w:rPr>
      </w:pPr>
      <w:r>
        <w:rPr>
          <w:rFonts w:hint="eastAsia" w:ascii="宋体" w:hAnsi="宋体"/>
          <w:sz w:val="24"/>
          <w:szCs w:val="24"/>
          <w:highlight w:val="none"/>
          <w:lang w:eastAsia="zh-CN"/>
        </w:rPr>
        <w:t>中山市市政府大院内及</w:t>
      </w:r>
      <w:r>
        <w:rPr>
          <w:rFonts w:hint="eastAsia" w:ascii="宋体" w:hAnsi="宋体"/>
          <w:sz w:val="24"/>
          <w:szCs w:val="24"/>
          <w:highlight w:val="none"/>
        </w:rPr>
        <w:t>中山市政务服务中心</w:t>
      </w:r>
      <w:r>
        <w:rPr>
          <w:rFonts w:hint="eastAsia" w:ascii="宋体" w:hAnsi="宋体"/>
          <w:sz w:val="24"/>
          <w:szCs w:val="24"/>
          <w:highlight w:val="none"/>
          <w:lang w:eastAsia="zh-CN"/>
        </w:rPr>
        <w:t>低端信息化设备维护服务</w:t>
      </w:r>
      <w:r>
        <w:rPr>
          <w:rFonts w:hint="eastAsia" w:ascii="宋体" w:hAnsi="宋体"/>
          <w:sz w:val="24"/>
          <w:szCs w:val="24"/>
          <w:highlight w:val="none"/>
        </w:rPr>
        <w:t>项目</w:t>
      </w:r>
      <w:r>
        <w:rPr>
          <w:rFonts w:hint="eastAsia" w:ascii="宋体" w:hAnsi="宋体"/>
          <w:sz w:val="24"/>
          <w:szCs w:val="24"/>
          <w:highlight w:val="none"/>
          <w:lang w:val="en-US" w:eastAsia="zh-CN"/>
        </w:rPr>
        <w:t>,</w:t>
      </w:r>
      <w:r>
        <w:rPr>
          <w:rFonts w:hint="eastAsia"/>
          <w:sz w:val="24"/>
          <w:szCs w:val="24"/>
          <w:highlight w:val="none"/>
        </w:rPr>
        <w:t>甲方与乙方就</w:t>
      </w:r>
      <w:r>
        <w:rPr>
          <w:rFonts w:hint="eastAsia"/>
          <w:sz w:val="24"/>
          <w:szCs w:val="24"/>
          <w:highlight w:val="none"/>
          <w:lang w:eastAsia="zh-CN"/>
        </w:rPr>
        <w:t>乙方为甲方提供</w:t>
      </w:r>
      <w:r>
        <w:rPr>
          <w:rFonts w:hint="eastAsia" w:ascii="宋体" w:hAnsi="宋体"/>
          <w:sz w:val="24"/>
          <w:szCs w:val="24"/>
          <w:highlight w:val="none"/>
        </w:rPr>
        <w:t>该项目</w:t>
      </w:r>
      <w:r>
        <w:rPr>
          <w:rFonts w:hint="eastAsia"/>
          <w:sz w:val="24"/>
          <w:szCs w:val="24"/>
          <w:highlight w:val="none"/>
          <w:lang w:eastAsia="zh-CN"/>
        </w:rPr>
        <w:t>服务事宜协商一致</w:t>
      </w:r>
      <w:r>
        <w:rPr>
          <w:rFonts w:hint="eastAsia"/>
          <w:sz w:val="24"/>
          <w:szCs w:val="24"/>
          <w:highlight w:val="none"/>
        </w:rPr>
        <w:t>，在自愿、合法的基础上，根据《中华人民共和国</w:t>
      </w:r>
      <w:r>
        <w:rPr>
          <w:rFonts w:hint="eastAsia"/>
          <w:sz w:val="24"/>
          <w:szCs w:val="24"/>
          <w:highlight w:val="none"/>
          <w:lang w:val="en-US" w:eastAsia="zh-CN"/>
        </w:rPr>
        <w:t>民</w:t>
      </w:r>
      <w:r>
        <w:rPr>
          <w:rFonts w:hint="eastAsia"/>
          <w:sz w:val="24"/>
          <w:szCs w:val="24"/>
          <w:highlight w:val="none"/>
        </w:rPr>
        <w:t>法</w:t>
      </w:r>
      <w:r>
        <w:rPr>
          <w:rFonts w:hint="eastAsia"/>
          <w:sz w:val="24"/>
          <w:szCs w:val="24"/>
          <w:highlight w:val="none"/>
          <w:lang w:val="en-US" w:eastAsia="zh-CN"/>
        </w:rPr>
        <w:t>典</w:t>
      </w:r>
      <w:r>
        <w:rPr>
          <w:rFonts w:hint="eastAsia"/>
          <w:sz w:val="24"/>
          <w:szCs w:val="24"/>
          <w:highlight w:val="none"/>
        </w:rPr>
        <w:t>》的规定，达成如下条款，签订本合同，以资双方共同信守。</w:t>
      </w:r>
    </w:p>
    <w:p w14:paraId="6086C51A">
      <w:pPr>
        <w:spacing w:line="500" w:lineRule="exact"/>
        <w:rPr>
          <w:rFonts w:hint="eastAsia" w:ascii="宋体" w:hAnsi="宋体"/>
          <w:b/>
          <w:sz w:val="24"/>
          <w:szCs w:val="24"/>
          <w:highlight w:val="none"/>
        </w:rPr>
      </w:pPr>
      <w:r>
        <w:rPr>
          <w:rFonts w:hint="eastAsia" w:eastAsia="黑体"/>
          <w:sz w:val="24"/>
          <w:szCs w:val="24"/>
          <w:highlight w:val="none"/>
        </w:rPr>
        <w:t xml:space="preserve">    </w:t>
      </w:r>
      <w:r>
        <w:rPr>
          <w:rFonts w:hint="eastAsia" w:ascii="宋体" w:hAnsi="宋体"/>
          <w:b/>
          <w:sz w:val="24"/>
          <w:szCs w:val="24"/>
          <w:highlight w:val="none"/>
        </w:rPr>
        <w:t>第一条</w:t>
      </w:r>
      <w:r>
        <w:rPr>
          <w:rFonts w:ascii="宋体" w:hAnsi="宋体"/>
          <w:b/>
          <w:bCs/>
          <w:sz w:val="24"/>
          <w:szCs w:val="24"/>
          <w:highlight w:val="none"/>
        </w:rPr>
        <w:t xml:space="preserve">  </w:t>
      </w:r>
      <w:r>
        <w:rPr>
          <w:rFonts w:hint="eastAsia" w:ascii="宋体" w:hAnsi="宋体"/>
          <w:b/>
          <w:bCs/>
          <w:sz w:val="24"/>
          <w:szCs w:val="24"/>
          <w:highlight w:val="none"/>
        </w:rPr>
        <w:t>合同标的</w:t>
      </w:r>
    </w:p>
    <w:p w14:paraId="1B8EAF40">
      <w:pPr>
        <w:spacing w:line="500" w:lineRule="exact"/>
        <w:ind w:firstLine="480" w:firstLineChars="200"/>
        <w:rPr>
          <w:rFonts w:hint="eastAsia"/>
          <w:sz w:val="24"/>
          <w:szCs w:val="24"/>
          <w:highlight w:val="none"/>
        </w:rPr>
      </w:pPr>
      <w:r>
        <w:rPr>
          <w:rFonts w:hint="eastAsia" w:ascii="宋体" w:hAnsi="宋体"/>
          <w:sz w:val="24"/>
          <w:szCs w:val="24"/>
          <w:highlight w:val="none"/>
        </w:rPr>
        <w:t>1、本合同标的为</w:t>
      </w:r>
      <w:r>
        <w:rPr>
          <w:rFonts w:hint="eastAsia" w:ascii="宋体" w:hAnsi="宋体"/>
          <w:sz w:val="24"/>
          <w:szCs w:val="24"/>
          <w:highlight w:val="none"/>
          <w:lang w:eastAsia="zh-CN"/>
        </w:rPr>
        <w:t>中山市市政府大院内及</w:t>
      </w:r>
      <w:r>
        <w:rPr>
          <w:rFonts w:hint="eastAsia" w:ascii="宋体" w:hAnsi="宋体"/>
          <w:sz w:val="24"/>
          <w:szCs w:val="24"/>
          <w:highlight w:val="none"/>
        </w:rPr>
        <w:t>中山市政务服务中心</w:t>
      </w:r>
      <w:r>
        <w:rPr>
          <w:rFonts w:hint="eastAsia" w:ascii="宋体" w:hAnsi="宋体"/>
          <w:sz w:val="24"/>
          <w:szCs w:val="24"/>
          <w:highlight w:val="none"/>
          <w:lang w:eastAsia="zh-CN"/>
        </w:rPr>
        <w:t>低端信息化设备维护服务</w:t>
      </w:r>
      <w:r>
        <w:rPr>
          <w:rFonts w:hint="eastAsia" w:ascii="宋体" w:hAnsi="宋体"/>
          <w:sz w:val="24"/>
          <w:szCs w:val="24"/>
          <w:highlight w:val="none"/>
        </w:rPr>
        <w:t>项目</w:t>
      </w:r>
      <w:r>
        <w:rPr>
          <w:rFonts w:hint="eastAsia" w:ascii="宋体" w:hAnsi="宋体"/>
          <w:sz w:val="24"/>
          <w:szCs w:val="24"/>
          <w:highlight w:val="none"/>
          <w:lang w:eastAsia="zh-CN"/>
        </w:rPr>
        <w:t>，包括但不限于所有的维</w:t>
      </w:r>
      <w:r>
        <w:rPr>
          <w:rFonts w:hint="eastAsia" w:ascii="宋体" w:hAnsi="宋体"/>
          <w:sz w:val="24"/>
          <w:szCs w:val="24"/>
          <w:highlight w:val="none"/>
        </w:rPr>
        <w:t>护、检测、优化完善、系统集成、故障排除、提供技术支持和培训等相关服务。</w:t>
      </w:r>
    </w:p>
    <w:p w14:paraId="77403617">
      <w:pPr>
        <w:spacing w:line="500" w:lineRule="exact"/>
        <w:ind w:firstLine="480" w:firstLineChars="200"/>
        <w:rPr>
          <w:rFonts w:hint="eastAsia"/>
          <w:sz w:val="24"/>
          <w:szCs w:val="24"/>
          <w:highlight w:val="none"/>
        </w:rPr>
      </w:pPr>
      <w:r>
        <w:rPr>
          <w:rFonts w:hint="eastAsia"/>
          <w:sz w:val="24"/>
          <w:szCs w:val="24"/>
          <w:highlight w:val="none"/>
        </w:rPr>
        <w:t>2、服务范围详见《</w:t>
      </w:r>
      <w:r>
        <w:rPr>
          <w:rFonts w:hint="eastAsia" w:ascii="宋体" w:hAnsi="宋体"/>
          <w:sz w:val="24"/>
          <w:szCs w:val="24"/>
          <w:highlight w:val="none"/>
          <w:lang w:eastAsia="zh-CN"/>
        </w:rPr>
        <w:t>中山市市政府大院内及</w:t>
      </w:r>
      <w:r>
        <w:rPr>
          <w:rFonts w:hint="eastAsia" w:ascii="宋体" w:hAnsi="宋体"/>
          <w:sz w:val="24"/>
          <w:szCs w:val="24"/>
          <w:highlight w:val="none"/>
        </w:rPr>
        <w:t>中山市政务服务中心</w:t>
      </w:r>
      <w:r>
        <w:rPr>
          <w:rFonts w:hint="eastAsia" w:ascii="宋体" w:hAnsi="宋体"/>
          <w:sz w:val="24"/>
          <w:szCs w:val="24"/>
          <w:highlight w:val="none"/>
          <w:lang w:eastAsia="zh-CN"/>
        </w:rPr>
        <w:t>低端信息化设备维护服务</w:t>
      </w:r>
      <w:r>
        <w:rPr>
          <w:rFonts w:hint="eastAsia" w:ascii="宋体" w:hAnsi="宋体"/>
          <w:sz w:val="24"/>
          <w:szCs w:val="24"/>
          <w:highlight w:val="none"/>
        </w:rPr>
        <w:t>项目用户需求书》</w:t>
      </w:r>
      <w:r>
        <w:rPr>
          <w:rFonts w:hint="eastAsia" w:ascii="宋体" w:hAnsi="宋体"/>
          <w:sz w:val="24"/>
          <w:szCs w:val="24"/>
          <w:highlight w:val="none"/>
          <w:lang w:eastAsia="zh-CN"/>
        </w:rPr>
        <w:t>（</w:t>
      </w:r>
      <w:r>
        <w:rPr>
          <w:rFonts w:hint="eastAsia" w:ascii="宋体" w:hAnsi="宋体"/>
          <w:sz w:val="24"/>
          <w:szCs w:val="24"/>
          <w:highlight w:val="none"/>
          <w:lang w:val="en-US" w:eastAsia="zh-CN"/>
        </w:rPr>
        <w:t>以下简称《用户需求书》</w:t>
      </w:r>
      <w:r>
        <w:rPr>
          <w:rFonts w:hint="eastAsia" w:ascii="宋体" w:hAnsi="宋体"/>
          <w:sz w:val="24"/>
          <w:szCs w:val="24"/>
          <w:highlight w:val="none"/>
          <w:lang w:eastAsia="zh-CN"/>
        </w:rPr>
        <w:t>）</w:t>
      </w:r>
      <w:r>
        <w:rPr>
          <w:rFonts w:hint="eastAsia"/>
          <w:sz w:val="24"/>
          <w:szCs w:val="24"/>
          <w:highlight w:val="none"/>
        </w:rPr>
        <w:t>。</w:t>
      </w:r>
    </w:p>
    <w:p w14:paraId="4B7A8224">
      <w:pPr>
        <w:spacing w:line="500" w:lineRule="exact"/>
        <w:rPr>
          <w:rFonts w:hint="eastAsia" w:ascii="宋体" w:hAnsi="宋体"/>
          <w:b/>
          <w:spacing w:val="-2"/>
          <w:sz w:val="24"/>
          <w:szCs w:val="24"/>
          <w:highlight w:val="none"/>
        </w:rPr>
      </w:pPr>
      <w:r>
        <w:rPr>
          <w:rFonts w:hint="eastAsia"/>
          <w:spacing w:val="-2"/>
          <w:sz w:val="24"/>
          <w:szCs w:val="24"/>
          <w:highlight w:val="none"/>
        </w:rPr>
        <w:t xml:space="preserve">   </w:t>
      </w:r>
      <w:r>
        <w:rPr>
          <w:rFonts w:hint="eastAsia" w:eastAsia="黑体"/>
          <w:spacing w:val="-2"/>
          <w:sz w:val="24"/>
          <w:szCs w:val="24"/>
          <w:highlight w:val="none"/>
        </w:rPr>
        <w:t xml:space="preserve"> </w:t>
      </w:r>
      <w:r>
        <w:rPr>
          <w:rFonts w:hint="eastAsia" w:ascii="宋体" w:hAnsi="宋体"/>
          <w:b/>
          <w:spacing w:val="-2"/>
          <w:sz w:val="24"/>
          <w:szCs w:val="24"/>
          <w:highlight w:val="none"/>
        </w:rPr>
        <w:t>第二条</w:t>
      </w:r>
      <w:r>
        <w:rPr>
          <w:rFonts w:hint="eastAsia" w:ascii="宋体" w:hAnsi="宋体"/>
          <w:b/>
          <w:bCs/>
          <w:spacing w:val="-2"/>
          <w:sz w:val="24"/>
          <w:szCs w:val="24"/>
          <w:highlight w:val="none"/>
        </w:rPr>
        <w:t xml:space="preserve">  服务内容和要求</w:t>
      </w:r>
    </w:p>
    <w:p w14:paraId="6C3E4927">
      <w:pPr>
        <w:spacing w:line="500" w:lineRule="exact"/>
        <w:ind w:firstLine="480" w:firstLineChars="200"/>
        <w:rPr>
          <w:rFonts w:hint="eastAsia"/>
          <w:sz w:val="24"/>
          <w:szCs w:val="24"/>
          <w:highlight w:val="none"/>
        </w:rPr>
      </w:pPr>
      <w:r>
        <w:rPr>
          <w:rFonts w:hint="eastAsia"/>
          <w:sz w:val="24"/>
          <w:szCs w:val="24"/>
          <w:highlight w:val="none"/>
        </w:rPr>
        <w:t>1、内容和要求：详见</w:t>
      </w:r>
      <w:r>
        <w:rPr>
          <w:rFonts w:hint="eastAsia" w:ascii="宋体" w:hAnsi="宋体"/>
          <w:sz w:val="24"/>
          <w:szCs w:val="24"/>
          <w:highlight w:val="none"/>
          <w:lang w:val="en-US" w:eastAsia="zh-CN"/>
        </w:rPr>
        <w:t>《用户需求书》</w:t>
      </w:r>
      <w:r>
        <w:rPr>
          <w:rFonts w:hint="eastAsia"/>
          <w:sz w:val="24"/>
          <w:szCs w:val="24"/>
          <w:highlight w:val="none"/>
        </w:rPr>
        <w:t>。</w:t>
      </w:r>
    </w:p>
    <w:p w14:paraId="7174F9B4">
      <w:pPr>
        <w:spacing w:line="500" w:lineRule="exact"/>
        <w:ind w:firstLine="480" w:firstLineChars="200"/>
        <w:rPr>
          <w:rFonts w:hint="eastAsia" w:eastAsia="宋体"/>
          <w:sz w:val="24"/>
          <w:szCs w:val="24"/>
          <w:highlight w:val="none"/>
          <w:lang w:eastAsia="zh-CN"/>
        </w:rPr>
      </w:pPr>
      <w:r>
        <w:rPr>
          <w:rFonts w:hint="eastAsia"/>
          <w:sz w:val="24"/>
          <w:szCs w:val="24"/>
          <w:highlight w:val="none"/>
        </w:rPr>
        <w:t>2、合同</w:t>
      </w:r>
      <w:r>
        <w:rPr>
          <w:rFonts w:hint="eastAsia" w:ascii="宋体" w:hAnsi="宋体"/>
          <w:sz w:val="24"/>
          <w:szCs w:val="24"/>
          <w:highlight w:val="none"/>
        </w:rPr>
        <w:t>履行期限</w:t>
      </w:r>
      <w:r>
        <w:rPr>
          <w:rFonts w:hint="eastAsia"/>
          <w:sz w:val="24"/>
          <w:szCs w:val="24"/>
          <w:highlight w:val="none"/>
        </w:rPr>
        <w:t>：</w:t>
      </w:r>
      <w:r>
        <w:rPr>
          <w:rFonts w:hint="eastAsia"/>
          <w:sz w:val="24"/>
          <w:szCs w:val="24"/>
          <w:highlight w:val="none"/>
          <w:lang w:eastAsia="zh-CN"/>
        </w:rPr>
        <w:t>自本合同签订之日起一年。</w:t>
      </w:r>
    </w:p>
    <w:p w14:paraId="70197AE3">
      <w:pPr>
        <w:spacing w:line="500" w:lineRule="exact"/>
        <w:ind w:firstLine="480" w:firstLineChars="200"/>
        <w:rPr>
          <w:rFonts w:hint="eastAsia"/>
          <w:sz w:val="24"/>
          <w:szCs w:val="24"/>
          <w:highlight w:val="none"/>
        </w:rPr>
      </w:pPr>
      <w:r>
        <w:rPr>
          <w:rFonts w:hint="eastAsia"/>
          <w:sz w:val="24"/>
          <w:szCs w:val="24"/>
          <w:highlight w:val="none"/>
        </w:rPr>
        <w:t>3、</w:t>
      </w:r>
      <w:r>
        <w:rPr>
          <w:rFonts w:hint="eastAsia" w:ascii="宋体" w:hAnsi="宋体"/>
          <w:sz w:val="24"/>
          <w:szCs w:val="24"/>
          <w:highlight w:val="none"/>
        </w:rPr>
        <w:t>履行</w:t>
      </w:r>
      <w:r>
        <w:rPr>
          <w:rFonts w:hint="eastAsia"/>
          <w:sz w:val="24"/>
          <w:szCs w:val="24"/>
          <w:highlight w:val="none"/>
        </w:rPr>
        <w:t>地点：广东省中山市。</w:t>
      </w:r>
    </w:p>
    <w:p w14:paraId="16EDECA6">
      <w:pPr>
        <w:spacing w:line="500" w:lineRule="exact"/>
        <w:ind w:firstLine="480"/>
        <w:rPr>
          <w:rFonts w:hint="eastAsia" w:ascii="宋体" w:hAnsi="宋体"/>
          <w:b/>
          <w:sz w:val="24"/>
          <w:szCs w:val="24"/>
          <w:highlight w:val="none"/>
        </w:rPr>
      </w:pPr>
      <w:r>
        <w:rPr>
          <w:rFonts w:hint="eastAsia" w:ascii="宋体" w:hAnsi="宋体"/>
          <w:b/>
          <w:sz w:val="24"/>
          <w:szCs w:val="24"/>
          <w:highlight w:val="none"/>
        </w:rPr>
        <w:t>第三条</w:t>
      </w:r>
      <w:r>
        <w:rPr>
          <w:rFonts w:ascii="宋体" w:hAnsi="宋体"/>
          <w:b/>
          <w:sz w:val="24"/>
          <w:szCs w:val="24"/>
          <w:highlight w:val="none"/>
        </w:rPr>
        <w:t xml:space="preserve">  </w:t>
      </w:r>
      <w:r>
        <w:rPr>
          <w:rFonts w:hint="eastAsia" w:ascii="宋体" w:hAnsi="宋体"/>
          <w:b/>
          <w:bCs/>
          <w:sz w:val="24"/>
          <w:szCs w:val="24"/>
          <w:highlight w:val="none"/>
        </w:rPr>
        <w:t>甲方</w:t>
      </w:r>
      <w:r>
        <w:rPr>
          <w:rFonts w:hint="eastAsia" w:ascii="宋体" w:hAnsi="宋体"/>
          <w:b/>
          <w:sz w:val="24"/>
          <w:szCs w:val="24"/>
          <w:highlight w:val="none"/>
        </w:rPr>
        <w:t>责任</w:t>
      </w:r>
    </w:p>
    <w:p w14:paraId="0F3EC3E7">
      <w:pPr>
        <w:spacing w:line="500" w:lineRule="exact"/>
        <w:ind w:firstLine="480"/>
        <w:rPr>
          <w:rFonts w:hint="eastAsia"/>
          <w:sz w:val="24"/>
          <w:szCs w:val="24"/>
          <w:highlight w:val="none"/>
        </w:rPr>
      </w:pPr>
      <w:r>
        <w:rPr>
          <w:rFonts w:hint="eastAsia"/>
          <w:sz w:val="24"/>
          <w:szCs w:val="24"/>
          <w:highlight w:val="none"/>
        </w:rPr>
        <w:t>为确保本合同的全面履行，甲方</w:t>
      </w:r>
      <w:r>
        <w:rPr>
          <w:rFonts w:hint="eastAsia"/>
          <w:sz w:val="24"/>
          <w:szCs w:val="24"/>
          <w:highlight w:val="none"/>
          <w:lang w:eastAsia="zh-CN"/>
        </w:rPr>
        <w:t>应为</w:t>
      </w:r>
      <w:r>
        <w:rPr>
          <w:rFonts w:hint="eastAsia"/>
          <w:sz w:val="24"/>
          <w:szCs w:val="24"/>
          <w:highlight w:val="none"/>
        </w:rPr>
        <w:t>乙方</w:t>
      </w:r>
      <w:r>
        <w:rPr>
          <w:rFonts w:hint="eastAsia"/>
          <w:sz w:val="24"/>
          <w:szCs w:val="24"/>
          <w:highlight w:val="none"/>
          <w:lang w:eastAsia="zh-CN"/>
        </w:rPr>
        <w:t>项目服务人员</w:t>
      </w:r>
      <w:r>
        <w:rPr>
          <w:rFonts w:hint="eastAsia"/>
          <w:sz w:val="24"/>
          <w:szCs w:val="24"/>
          <w:highlight w:val="none"/>
        </w:rPr>
        <w:t>进入工作场所、获取与技术维护服务相关的资料等提供必要的协助</w:t>
      </w:r>
      <w:r>
        <w:rPr>
          <w:rFonts w:hint="eastAsia"/>
          <w:sz w:val="24"/>
          <w:szCs w:val="24"/>
          <w:highlight w:val="none"/>
          <w:lang w:eastAsia="zh-CN"/>
        </w:rPr>
        <w:t>。</w:t>
      </w:r>
    </w:p>
    <w:p w14:paraId="0211104A">
      <w:pPr>
        <w:spacing w:line="500" w:lineRule="exact"/>
        <w:ind w:firstLine="482" w:firstLineChars="200"/>
        <w:rPr>
          <w:rFonts w:hint="eastAsia" w:ascii="宋体" w:hAnsi="宋体" w:eastAsia="宋体"/>
          <w:b/>
          <w:bCs/>
          <w:sz w:val="24"/>
          <w:szCs w:val="24"/>
          <w:highlight w:val="none"/>
          <w:lang w:eastAsia="zh-CN"/>
        </w:rPr>
      </w:pPr>
      <w:r>
        <w:rPr>
          <w:rFonts w:hint="eastAsia" w:ascii="宋体" w:hAnsi="宋体"/>
          <w:b/>
          <w:sz w:val="24"/>
          <w:szCs w:val="24"/>
          <w:highlight w:val="none"/>
        </w:rPr>
        <w:t>第四条</w:t>
      </w:r>
      <w:r>
        <w:rPr>
          <w:rFonts w:hint="eastAsia" w:ascii="宋体" w:hAnsi="宋体"/>
          <w:b/>
          <w:bCs/>
          <w:sz w:val="24"/>
          <w:szCs w:val="24"/>
          <w:highlight w:val="none"/>
        </w:rPr>
        <w:t xml:space="preserve">  </w:t>
      </w:r>
      <w:r>
        <w:rPr>
          <w:rFonts w:hint="eastAsia" w:ascii="宋体" w:hAnsi="宋体"/>
          <w:b/>
          <w:bCs/>
          <w:sz w:val="24"/>
          <w:szCs w:val="24"/>
          <w:highlight w:val="none"/>
          <w:lang w:eastAsia="zh-CN"/>
        </w:rPr>
        <w:t>乙方责任</w:t>
      </w:r>
    </w:p>
    <w:p w14:paraId="023F9E9F">
      <w:pPr>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rPr>
        <w:t>1、</w:t>
      </w:r>
      <w:r>
        <w:rPr>
          <w:rFonts w:hint="eastAsia"/>
          <w:sz w:val="24"/>
          <w:szCs w:val="24"/>
          <w:highlight w:val="none"/>
        </w:rPr>
        <w:t>乙方</w:t>
      </w:r>
      <w:r>
        <w:rPr>
          <w:rFonts w:hint="eastAsia"/>
          <w:sz w:val="24"/>
          <w:szCs w:val="24"/>
          <w:highlight w:val="none"/>
          <w:lang w:eastAsia="zh-CN"/>
        </w:rPr>
        <w:t>应</w:t>
      </w:r>
      <w:r>
        <w:rPr>
          <w:rFonts w:hint="eastAsia"/>
          <w:sz w:val="24"/>
          <w:szCs w:val="24"/>
          <w:highlight w:val="none"/>
        </w:rPr>
        <w:t>按服务要求提供维护服务。</w:t>
      </w:r>
    </w:p>
    <w:p w14:paraId="4AF46A1E">
      <w:pPr>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为确保提供及时、高效的服务，乙方</w:t>
      </w:r>
      <w:r>
        <w:rPr>
          <w:rFonts w:hint="eastAsia" w:ascii="宋体" w:hAnsi="宋体"/>
          <w:sz w:val="24"/>
          <w:szCs w:val="24"/>
          <w:highlight w:val="none"/>
          <w:lang w:eastAsia="zh-CN"/>
        </w:rPr>
        <w:t>应</w:t>
      </w:r>
      <w:r>
        <w:rPr>
          <w:rFonts w:hint="eastAsia" w:ascii="宋体" w:hAnsi="宋体"/>
          <w:sz w:val="24"/>
          <w:szCs w:val="24"/>
          <w:highlight w:val="none"/>
        </w:rPr>
        <w:t>设立项目组</w:t>
      </w:r>
      <w:r>
        <w:rPr>
          <w:rFonts w:hint="eastAsia" w:ascii="宋体" w:hAnsi="宋体"/>
          <w:sz w:val="24"/>
          <w:szCs w:val="24"/>
          <w:highlight w:val="none"/>
          <w:lang w:eastAsia="zh-CN"/>
        </w:rPr>
        <w:t>，</w:t>
      </w:r>
      <w:r>
        <w:rPr>
          <w:rFonts w:hint="eastAsia" w:ascii="宋体" w:hAnsi="宋体"/>
          <w:sz w:val="24"/>
          <w:szCs w:val="24"/>
          <w:highlight w:val="none"/>
        </w:rPr>
        <w:t>项目组由项目负责人、项目经理和网络维护、巡检培训等人员组成。设定项目组的组织架构、人员组成及必要的设施配置（由乙方自备，包括交通工具、通讯设备、软硬件维护工具等）。</w:t>
      </w:r>
    </w:p>
    <w:p w14:paraId="03D1181A">
      <w:pPr>
        <w:spacing w:line="500" w:lineRule="exact"/>
        <w:ind w:firstLine="480" w:firstLineChars="200"/>
        <w:rPr>
          <w:rFonts w:hint="eastAsia" w:ascii="宋体" w:hAnsi="宋体"/>
          <w:sz w:val="24"/>
          <w:szCs w:val="24"/>
          <w:highlight w:val="cyan"/>
        </w:rPr>
      </w:pPr>
      <w:r>
        <w:rPr>
          <w:rFonts w:hint="eastAsia" w:ascii="宋体" w:hAnsi="宋体"/>
          <w:sz w:val="24"/>
          <w:szCs w:val="24"/>
          <w:highlight w:val="none"/>
        </w:rPr>
        <w:t>3、乙方保证按《用户需求书》要求配备系统维护人员，并保证未经甲方书面同意，不更换上述专职的系统维护人员。如确需更换人员，乙方应提前15个工作日书面通知甲方，并保证更换人员的资质不低于原有人员，新旧人员交接期不少于10个工作日。</w:t>
      </w:r>
    </w:p>
    <w:p w14:paraId="20602EDE">
      <w:pPr>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rPr>
        <w:t>4、乙方主动调整（包括但不限于增加、减少或变更）项目组的组织架构与主要技术人员，须经甲方书面同意，其他人员的变更应当书面知照甲方。</w:t>
      </w:r>
    </w:p>
    <w:p w14:paraId="64299CB0">
      <w:pPr>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、乙方派到甲方的人员，接受甲方的管理，必须遵守甲方相关的规章制度及相关的保密规定，甲方对维护人员的表现不满意有权要求乙方更换。</w:t>
      </w:r>
    </w:p>
    <w:p w14:paraId="08CD572D">
      <w:pPr>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项目组人员作为乙方员工，在履行本合同过程中所有行为，由乙方负责。</w:t>
      </w:r>
      <w:r>
        <w:rPr>
          <w:rFonts w:hint="eastAsia" w:ascii="宋体" w:hAnsi="宋体"/>
          <w:sz w:val="24"/>
          <w:szCs w:val="24"/>
          <w:highlight w:val="none"/>
          <w:lang w:val="en-US" w:eastAsia="zh-CN"/>
        </w:rPr>
        <w:t>乙</w:t>
      </w:r>
      <w:r>
        <w:rPr>
          <w:rFonts w:hint="eastAsia" w:ascii="宋体" w:hAnsi="宋体"/>
          <w:sz w:val="24"/>
          <w:szCs w:val="24"/>
          <w:highlight w:val="none"/>
        </w:rPr>
        <w:t>方须承诺为所有项目组人员购买必要的保险，对于项目组人员因为工作在现场引起的各种工伤、安全事故，均由乙方承担责任，甲方免予承担一切责任。乙方负责贯彻实施好国家及当地安全系统运维服务规定，排除安全隐患，注意运维安全，保证项目组人员具备相应的资质要求，佩证上岗。如服务期间出现财产损失或人身损害等安全事故由乙方负责，造成甲方损失</w:t>
      </w:r>
      <w:r>
        <w:rPr>
          <w:rFonts w:hint="eastAsia" w:ascii="宋体" w:hAnsi="宋体"/>
          <w:sz w:val="24"/>
          <w:szCs w:val="24"/>
          <w:highlight w:val="none"/>
          <w:lang w:val="en-US" w:eastAsia="zh-CN"/>
        </w:rPr>
        <w:t>的</w:t>
      </w:r>
      <w:r>
        <w:rPr>
          <w:rFonts w:hint="eastAsia" w:ascii="宋体" w:hAnsi="宋体"/>
          <w:sz w:val="24"/>
          <w:szCs w:val="24"/>
          <w:highlight w:val="none"/>
        </w:rPr>
        <w:t>，由乙方承担赔偿责任。</w:t>
      </w:r>
    </w:p>
    <w:p w14:paraId="7D09677F">
      <w:pPr>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、如乙方违反本条第2、3、4款任何一款及乙方的替代人选未能取得甲方的认可而乙方又怠于补救的，甲方有权单方解除本合同，</w:t>
      </w:r>
      <w:r>
        <w:rPr>
          <w:rFonts w:hint="eastAsia" w:ascii="宋体" w:hAnsi="宋体"/>
          <w:sz w:val="24"/>
          <w:szCs w:val="24"/>
          <w:highlight w:val="none"/>
          <w:lang w:val="en-US" w:eastAsia="zh-CN"/>
        </w:rPr>
        <w:t>双方按实际服务时间结算</w:t>
      </w:r>
      <w:r>
        <w:rPr>
          <w:rFonts w:hint="eastAsia" w:ascii="宋体" w:hAnsi="宋体"/>
          <w:sz w:val="24"/>
          <w:szCs w:val="24"/>
          <w:highlight w:val="none"/>
          <w:lang w:eastAsia="zh-CN"/>
        </w:rPr>
        <w:t>，</w:t>
      </w:r>
      <w:r>
        <w:rPr>
          <w:rFonts w:hint="eastAsia" w:ascii="宋体" w:hAnsi="宋体"/>
          <w:sz w:val="24"/>
          <w:szCs w:val="24"/>
          <w:highlight w:val="none"/>
          <w:lang w:val="en-US" w:eastAsia="zh-CN"/>
        </w:rPr>
        <w:t>因此给甲方造成的损失由乙方负责赔偿</w:t>
      </w:r>
      <w:r>
        <w:rPr>
          <w:rFonts w:hint="eastAsia" w:ascii="宋体" w:hAnsi="宋体"/>
          <w:sz w:val="24"/>
          <w:szCs w:val="24"/>
          <w:highlight w:val="none"/>
        </w:rPr>
        <w:t>。</w:t>
      </w:r>
    </w:p>
    <w:p w14:paraId="6B34258D">
      <w:pPr>
        <w:spacing w:line="500" w:lineRule="exact"/>
        <w:ind w:firstLine="482" w:firstLineChars="200"/>
        <w:rPr>
          <w:rFonts w:hint="eastAsia" w:ascii="宋体" w:hAnsi="宋体"/>
          <w:b/>
          <w:bCs/>
          <w:sz w:val="24"/>
          <w:szCs w:val="24"/>
          <w:highlight w:val="none"/>
        </w:rPr>
      </w:pPr>
      <w:r>
        <w:rPr>
          <w:rFonts w:hint="eastAsia" w:ascii="宋体" w:hAnsi="宋体"/>
          <w:b/>
          <w:sz w:val="24"/>
          <w:szCs w:val="24"/>
          <w:highlight w:val="none"/>
        </w:rPr>
        <w:t>第五条</w:t>
      </w:r>
      <w:r>
        <w:rPr>
          <w:rFonts w:hint="eastAsia" w:ascii="宋体" w:hAnsi="宋体"/>
          <w:b/>
          <w:bCs/>
          <w:sz w:val="24"/>
          <w:szCs w:val="24"/>
          <w:highlight w:val="none"/>
        </w:rPr>
        <w:t xml:space="preserve">  技术成果的归属与使用</w:t>
      </w:r>
    </w:p>
    <w:p w14:paraId="1AE34183">
      <w:pPr>
        <w:pStyle w:val="5"/>
        <w:spacing w:after="0" w:line="500" w:lineRule="exact"/>
        <w:ind w:left="0" w:leftChars="0" w:firstLine="480" w:firstLineChars="200"/>
        <w:rPr>
          <w:rFonts w:hint="eastAsia"/>
          <w:sz w:val="24"/>
          <w:szCs w:val="24"/>
          <w:highlight w:val="none"/>
        </w:rPr>
      </w:pPr>
      <w:r>
        <w:rPr>
          <w:rFonts w:hint="eastAsia"/>
          <w:sz w:val="24"/>
          <w:szCs w:val="24"/>
          <w:highlight w:val="none"/>
        </w:rPr>
        <w:t>1</w:t>
      </w:r>
      <w:r>
        <w:rPr>
          <w:rFonts w:hint="eastAsia" w:ascii="宋体" w:hAnsi="宋体"/>
          <w:sz w:val="24"/>
          <w:szCs w:val="24"/>
          <w:highlight w:val="none"/>
        </w:rPr>
        <w:t>、乙方在为甲方提供维护服务</w:t>
      </w:r>
      <w:r>
        <w:rPr>
          <w:rFonts w:hint="eastAsia" w:ascii="宋体" w:hAnsi="宋体"/>
          <w:bCs/>
          <w:sz w:val="24"/>
          <w:szCs w:val="24"/>
          <w:highlight w:val="none"/>
        </w:rPr>
        <w:t>所</w:t>
      </w:r>
      <w:r>
        <w:rPr>
          <w:rFonts w:hint="eastAsia" w:ascii="宋体" w:hAnsi="宋体"/>
          <w:bCs/>
          <w:sz w:val="24"/>
          <w:szCs w:val="24"/>
          <w:highlight w:val="none"/>
          <w:lang w:eastAsia="zh-CN"/>
        </w:rPr>
        <w:t>涉及的</w:t>
      </w:r>
      <w:r>
        <w:rPr>
          <w:rFonts w:hint="eastAsia" w:ascii="宋体" w:hAnsi="宋体"/>
          <w:bCs/>
          <w:sz w:val="24"/>
          <w:szCs w:val="24"/>
          <w:highlight w:val="none"/>
        </w:rPr>
        <w:t>技术资料、技术研究开发成果</w:t>
      </w:r>
      <w:r>
        <w:rPr>
          <w:rFonts w:hint="eastAsia"/>
          <w:sz w:val="24"/>
          <w:szCs w:val="24"/>
          <w:highlight w:val="none"/>
        </w:rPr>
        <w:t>及其相关知识产权权利（包括但不限于著作权、专利权、商标权等）</w:t>
      </w:r>
      <w:r>
        <w:rPr>
          <w:rFonts w:hint="eastAsia"/>
          <w:sz w:val="24"/>
          <w:szCs w:val="24"/>
          <w:highlight w:val="none"/>
          <w:lang w:eastAsia="zh-CN"/>
        </w:rPr>
        <w:t>、</w:t>
      </w:r>
      <w:r>
        <w:rPr>
          <w:rFonts w:hint="eastAsia"/>
          <w:sz w:val="24"/>
          <w:szCs w:val="24"/>
          <w:highlight w:val="none"/>
          <w:lang w:val="en-US" w:eastAsia="zh-CN"/>
        </w:rPr>
        <w:t>数据</w:t>
      </w:r>
      <w:r>
        <w:rPr>
          <w:rFonts w:hint="eastAsia" w:ascii="宋体" w:hAnsi="宋体"/>
          <w:bCs/>
          <w:sz w:val="24"/>
          <w:szCs w:val="24"/>
          <w:highlight w:val="none"/>
        </w:rPr>
        <w:t>归甲方所有，其</w:t>
      </w:r>
      <w:r>
        <w:rPr>
          <w:rFonts w:hint="eastAsia"/>
          <w:sz w:val="24"/>
          <w:szCs w:val="24"/>
          <w:highlight w:val="none"/>
        </w:rPr>
        <w:t>使用、处分</w:t>
      </w:r>
      <w:r>
        <w:rPr>
          <w:rFonts w:hint="eastAsia"/>
          <w:sz w:val="24"/>
          <w:szCs w:val="24"/>
          <w:highlight w:val="none"/>
          <w:lang w:eastAsia="zh-CN"/>
        </w:rPr>
        <w:t>、收</w:t>
      </w:r>
      <w:r>
        <w:rPr>
          <w:rFonts w:hint="eastAsia"/>
          <w:sz w:val="24"/>
          <w:szCs w:val="24"/>
          <w:highlight w:val="none"/>
        </w:rPr>
        <w:t>益</w:t>
      </w:r>
      <w:r>
        <w:rPr>
          <w:rFonts w:hint="eastAsia"/>
          <w:sz w:val="24"/>
          <w:szCs w:val="24"/>
          <w:highlight w:val="none"/>
          <w:lang w:eastAsia="zh-CN"/>
        </w:rPr>
        <w:t>等权利均由</w:t>
      </w:r>
      <w:r>
        <w:rPr>
          <w:rFonts w:hint="eastAsia"/>
          <w:sz w:val="24"/>
          <w:szCs w:val="24"/>
          <w:highlight w:val="none"/>
        </w:rPr>
        <w:t>甲方</w:t>
      </w:r>
      <w:r>
        <w:rPr>
          <w:rFonts w:hint="eastAsia"/>
          <w:sz w:val="24"/>
          <w:szCs w:val="24"/>
          <w:highlight w:val="none"/>
          <w:lang w:eastAsia="zh-CN"/>
        </w:rPr>
        <w:t>享有</w:t>
      </w:r>
      <w:r>
        <w:rPr>
          <w:rFonts w:hint="eastAsia"/>
          <w:sz w:val="24"/>
          <w:szCs w:val="24"/>
          <w:highlight w:val="none"/>
        </w:rPr>
        <w:t>。</w:t>
      </w:r>
    </w:p>
    <w:p w14:paraId="33732E80">
      <w:pPr>
        <w:pStyle w:val="5"/>
        <w:spacing w:after="0" w:line="500" w:lineRule="exact"/>
        <w:ind w:left="0" w:leftChars="0" w:firstLine="480" w:firstLineChars="200"/>
        <w:rPr>
          <w:rFonts w:hint="eastAsia" w:ascii="宋体" w:hAnsi="宋体"/>
          <w:bCs/>
          <w:sz w:val="24"/>
          <w:szCs w:val="24"/>
          <w:highlight w:val="none"/>
        </w:rPr>
      </w:pPr>
      <w:r>
        <w:rPr>
          <w:rFonts w:hint="eastAsia"/>
          <w:sz w:val="24"/>
          <w:szCs w:val="24"/>
          <w:highlight w:val="none"/>
        </w:rPr>
        <w:t>2、本合同履行期限内及本合同终止后</w:t>
      </w:r>
      <w:r>
        <w:rPr>
          <w:rFonts w:hint="eastAsia" w:eastAsia="仿宋_GB2312"/>
          <w:sz w:val="24"/>
          <w:szCs w:val="24"/>
          <w:highlight w:val="none"/>
        </w:rPr>
        <w:t>，</w:t>
      </w:r>
      <w:r>
        <w:rPr>
          <w:rFonts w:hint="eastAsia"/>
          <w:sz w:val="24"/>
          <w:szCs w:val="24"/>
          <w:highlight w:val="none"/>
        </w:rPr>
        <w:t>乙方</w:t>
      </w:r>
      <w:r>
        <w:rPr>
          <w:rFonts w:hint="eastAsia" w:ascii="宋体" w:hAnsi="宋体"/>
          <w:bCs/>
          <w:sz w:val="24"/>
          <w:szCs w:val="24"/>
          <w:highlight w:val="none"/>
        </w:rPr>
        <w:t>须按甲方要求向甲方提供维护服务</w:t>
      </w:r>
      <w:r>
        <w:rPr>
          <w:rFonts w:hint="eastAsia" w:ascii="宋体" w:hAnsi="宋体"/>
          <w:bCs/>
          <w:sz w:val="24"/>
          <w:szCs w:val="24"/>
          <w:highlight w:val="none"/>
          <w:lang w:eastAsia="zh-CN"/>
        </w:rPr>
        <w:t>涉及的</w:t>
      </w:r>
      <w:r>
        <w:rPr>
          <w:rFonts w:hint="eastAsia" w:ascii="宋体" w:hAnsi="宋体"/>
          <w:bCs/>
          <w:sz w:val="24"/>
          <w:szCs w:val="24"/>
          <w:highlight w:val="none"/>
        </w:rPr>
        <w:t>技术资料。</w:t>
      </w:r>
    </w:p>
    <w:p w14:paraId="799D6823">
      <w:pPr>
        <w:pStyle w:val="5"/>
        <w:spacing w:after="0" w:line="500" w:lineRule="exact"/>
        <w:ind w:left="0" w:leftChars="0" w:firstLine="480" w:firstLineChars="200"/>
        <w:rPr>
          <w:rFonts w:hint="eastAsia" w:ascii="宋体" w:hAnsi="宋体"/>
          <w:sz w:val="24"/>
          <w:szCs w:val="24"/>
          <w:highlight w:val="none"/>
        </w:rPr>
      </w:pPr>
      <w:r>
        <w:rPr>
          <w:rFonts w:hint="eastAsia" w:ascii="宋体" w:hAnsi="宋体"/>
          <w:sz w:val="24"/>
          <w:szCs w:val="24"/>
          <w:highlight w:val="none"/>
        </w:rPr>
        <w:t>3、乙方不得以任何方式将本合同项下</w:t>
      </w:r>
      <w:r>
        <w:rPr>
          <w:rFonts w:hint="eastAsia" w:ascii="宋体" w:hAnsi="宋体"/>
          <w:bCs/>
          <w:sz w:val="24"/>
          <w:szCs w:val="24"/>
          <w:highlight w:val="none"/>
        </w:rPr>
        <w:t>维护服务</w:t>
      </w:r>
      <w:r>
        <w:rPr>
          <w:rFonts w:hint="eastAsia" w:ascii="宋体" w:hAnsi="宋体"/>
          <w:bCs/>
          <w:sz w:val="24"/>
          <w:szCs w:val="24"/>
          <w:highlight w:val="none"/>
          <w:lang w:eastAsia="zh-CN"/>
        </w:rPr>
        <w:t>涉及的</w:t>
      </w:r>
      <w:r>
        <w:rPr>
          <w:rFonts w:hint="eastAsia" w:ascii="宋体" w:hAnsi="宋体"/>
          <w:bCs/>
          <w:sz w:val="24"/>
          <w:szCs w:val="24"/>
          <w:highlight w:val="none"/>
        </w:rPr>
        <w:t>技术资料</w:t>
      </w:r>
      <w:r>
        <w:rPr>
          <w:rFonts w:hint="eastAsia" w:ascii="宋体" w:hAnsi="宋体"/>
          <w:sz w:val="24"/>
          <w:szCs w:val="24"/>
          <w:highlight w:val="none"/>
        </w:rPr>
        <w:t>转让、出租、出借、赠予第三方或允许第三方使用。</w:t>
      </w:r>
    </w:p>
    <w:p w14:paraId="4F3B6766">
      <w:pPr>
        <w:spacing w:line="500" w:lineRule="exact"/>
        <w:rPr>
          <w:rFonts w:hint="eastAsia" w:ascii="宋体" w:hAnsi="宋体"/>
          <w:b/>
          <w:sz w:val="24"/>
          <w:szCs w:val="24"/>
          <w:highlight w:val="none"/>
        </w:rPr>
      </w:pPr>
      <w:r>
        <w:rPr>
          <w:rFonts w:hint="eastAsia" w:ascii="宋体"/>
          <w:sz w:val="24"/>
          <w:szCs w:val="24"/>
          <w:highlight w:val="none"/>
        </w:rPr>
        <w:t xml:space="preserve">    </w:t>
      </w:r>
      <w:r>
        <w:rPr>
          <w:rFonts w:hint="eastAsia" w:ascii="宋体" w:hAnsi="宋体"/>
          <w:b/>
          <w:sz w:val="24"/>
          <w:szCs w:val="24"/>
          <w:highlight w:val="none"/>
        </w:rPr>
        <w:t>第六条</w:t>
      </w:r>
      <w:r>
        <w:rPr>
          <w:rFonts w:ascii="宋体" w:hAnsi="宋体"/>
          <w:b/>
          <w:sz w:val="24"/>
          <w:szCs w:val="24"/>
          <w:highlight w:val="none"/>
        </w:rPr>
        <w:t xml:space="preserve">  </w:t>
      </w:r>
      <w:r>
        <w:rPr>
          <w:rFonts w:hint="eastAsia" w:ascii="宋体" w:hAnsi="宋体"/>
          <w:b/>
          <w:sz w:val="24"/>
          <w:szCs w:val="24"/>
          <w:highlight w:val="none"/>
        </w:rPr>
        <w:t>技术服务费和支付方式</w:t>
      </w:r>
    </w:p>
    <w:p w14:paraId="1E40B644">
      <w:pPr>
        <w:spacing w:line="500" w:lineRule="exact"/>
        <w:ind w:left="0" w:leftChars="0" w:firstLine="480" w:firstLineChars="200"/>
        <w:outlineLvl w:val="0"/>
        <w:rPr>
          <w:rFonts w:hint="default" w:ascii="宋体" w:hAnsi="宋体" w:eastAsia="宋体"/>
          <w:sz w:val="24"/>
          <w:szCs w:val="24"/>
          <w:highlight w:val="none"/>
          <w:lang w:val="en-US" w:eastAsia="zh-CN"/>
        </w:rPr>
      </w:pPr>
      <w:r>
        <w:rPr>
          <w:rFonts w:hint="eastAsia" w:ascii="宋体" w:hAnsi="宋体"/>
          <w:sz w:val="24"/>
          <w:szCs w:val="24"/>
          <w:highlight w:val="none"/>
        </w:rPr>
        <w:t>1、本合同项下的技术服务费总额为</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w:t>
      </w:r>
      <w:r>
        <w:rPr>
          <w:rFonts w:hint="eastAsia" w:ascii="宋体" w:hAnsi="宋体"/>
          <w:sz w:val="24"/>
          <w:szCs w:val="24"/>
          <w:highlight w:val="none"/>
          <w:lang w:eastAsia="zh-CN"/>
        </w:rPr>
        <w:t>前述</w:t>
      </w:r>
      <w:r>
        <w:rPr>
          <w:rFonts w:hint="eastAsia" w:ascii="宋体" w:hAnsi="宋体"/>
          <w:sz w:val="24"/>
          <w:szCs w:val="24"/>
          <w:highlight w:val="none"/>
        </w:rPr>
        <w:t>技术服务费总价包括</w:t>
      </w:r>
      <w:r>
        <w:rPr>
          <w:rFonts w:hint="eastAsia" w:ascii="宋体" w:hAnsi="宋体"/>
          <w:sz w:val="24"/>
          <w:szCs w:val="24"/>
          <w:highlight w:val="none"/>
          <w:lang w:eastAsia="zh-CN"/>
        </w:rPr>
        <w:t>但不限于维</w:t>
      </w:r>
      <w:r>
        <w:rPr>
          <w:rFonts w:hint="eastAsia" w:ascii="宋体" w:hAnsi="宋体"/>
          <w:sz w:val="24"/>
          <w:szCs w:val="24"/>
          <w:highlight w:val="none"/>
        </w:rPr>
        <w:t>护、检测、升级完善、系统集成、故障排除、提供技术支持和培训、税费（包括关税、增值税）、运费、保险费、调试、图纸、资料、免费上门服务</w:t>
      </w:r>
      <w:r>
        <w:rPr>
          <w:rFonts w:hint="eastAsia" w:ascii="宋体" w:hAnsi="宋体"/>
          <w:sz w:val="24"/>
          <w:szCs w:val="24"/>
          <w:highlight w:val="none"/>
          <w:lang w:eastAsia="zh-CN"/>
        </w:rPr>
        <w:t>费、</w:t>
      </w:r>
      <w:r>
        <w:rPr>
          <w:rFonts w:hint="eastAsia" w:ascii="宋体" w:hAnsi="宋体"/>
          <w:sz w:val="24"/>
          <w:szCs w:val="24"/>
          <w:highlight w:val="none"/>
        </w:rPr>
        <w:t>交接期</w:t>
      </w:r>
      <w:r>
        <w:rPr>
          <w:rFonts w:hint="eastAsia" w:ascii="宋体" w:hAnsi="宋体"/>
          <w:sz w:val="24"/>
          <w:szCs w:val="24"/>
          <w:highlight w:val="none"/>
          <w:lang w:eastAsia="zh-CN"/>
        </w:rPr>
        <w:t>技术维护服务费</w:t>
      </w:r>
      <w:r>
        <w:rPr>
          <w:rFonts w:hint="eastAsia" w:ascii="宋体" w:hAnsi="宋体"/>
          <w:sz w:val="24"/>
          <w:szCs w:val="24"/>
          <w:highlight w:val="none"/>
        </w:rPr>
        <w:t>等的</w:t>
      </w:r>
      <w:r>
        <w:rPr>
          <w:rFonts w:hint="eastAsia" w:ascii="宋体" w:hAnsi="宋体"/>
          <w:sz w:val="24"/>
          <w:szCs w:val="24"/>
          <w:highlight w:val="none"/>
          <w:lang w:val="en-US" w:eastAsia="zh-CN"/>
        </w:rPr>
        <w:t>乙方履行本合同所需的</w:t>
      </w:r>
      <w:r>
        <w:rPr>
          <w:rFonts w:hint="eastAsia" w:ascii="宋体" w:hAnsi="宋体"/>
          <w:sz w:val="24"/>
          <w:szCs w:val="24"/>
          <w:highlight w:val="none"/>
        </w:rPr>
        <w:t>全部费用。</w:t>
      </w:r>
      <w:r>
        <w:rPr>
          <w:rFonts w:hint="eastAsia" w:ascii="宋体" w:hAnsi="宋体"/>
          <w:sz w:val="24"/>
          <w:szCs w:val="24"/>
          <w:highlight w:val="none"/>
          <w:lang w:val="en-US" w:eastAsia="zh-CN"/>
        </w:rPr>
        <w:t>未经甲方书面同意，乙方不得就本合同的履行另行收取甲方其他费用。</w:t>
      </w:r>
    </w:p>
    <w:p w14:paraId="6C8497BA">
      <w:pPr>
        <w:spacing w:line="500" w:lineRule="exact"/>
        <w:ind w:firstLine="480" w:firstLineChars="200"/>
        <w:outlineLvl w:val="0"/>
        <w:rPr>
          <w:rFonts w:hint="eastAsia" w:ascii="宋体"/>
          <w:sz w:val="24"/>
          <w:szCs w:val="24"/>
          <w:highlight w:val="none"/>
        </w:rPr>
      </w:pPr>
      <w:r>
        <w:rPr>
          <w:rFonts w:hint="eastAsia" w:ascii="宋体"/>
          <w:sz w:val="24"/>
          <w:szCs w:val="24"/>
          <w:highlight w:val="none"/>
        </w:rPr>
        <w:t>2、支付方式：</w:t>
      </w:r>
    </w:p>
    <w:p w14:paraId="226272C2">
      <w:pPr>
        <w:pStyle w:val="2"/>
        <w:spacing w:line="500" w:lineRule="exact"/>
        <w:ind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（1）第一</w:t>
      </w:r>
      <w:r>
        <w:rPr>
          <w:rFonts w:hint="eastAsia" w:hAnsi="宋体" w:eastAsia="宋体" w:cs="宋体"/>
          <w:sz w:val="24"/>
          <w:szCs w:val="24"/>
          <w:highlight w:val="none"/>
          <w:lang w:val="en-US" w:eastAsia="zh-CN"/>
        </w:rPr>
        <w:t>季度</w:t>
      </w:r>
      <w:r>
        <w:rPr>
          <w:rFonts w:hint="eastAsia" w:ascii="宋体" w:hAnsi="宋体" w:eastAsia="宋体" w:cs="宋体"/>
          <w:sz w:val="24"/>
          <w:szCs w:val="24"/>
          <w:highlight w:val="none"/>
          <w:lang w:val="en-US" w:eastAsia="zh-CN"/>
        </w:rPr>
        <w:t>款：甲方对服务质量进行考核，考核合格后支付合同款30%；</w:t>
      </w:r>
    </w:p>
    <w:p w14:paraId="3C2C88CC">
      <w:pPr>
        <w:pStyle w:val="2"/>
        <w:spacing w:line="500" w:lineRule="exact"/>
        <w:ind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（2）第二</w:t>
      </w:r>
      <w:r>
        <w:rPr>
          <w:rFonts w:hint="eastAsia" w:hAnsi="宋体" w:eastAsia="宋体" w:cs="宋体"/>
          <w:sz w:val="24"/>
          <w:szCs w:val="24"/>
          <w:highlight w:val="none"/>
          <w:lang w:val="en-US" w:eastAsia="zh-CN"/>
        </w:rPr>
        <w:t>季度</w:t>
      </w:r>
      <w:r>
        <w:rPr>
          <w:rFonts w:hint="eastAsia" w:ascii="宋体" w:hAnsi="宋体" w:eastAsia="宋体" w:cs="宋体"/>
          <w:sz w:val="24"/>
          <w:szCs w:val="24"/>
          <w:highlight w:val="none"/>
          <w:lang w:val="en-US" w:eastAsia="zh-CN"/>
        </w:rPr>
        <w:t>款：甲方对服务质量进行考核，考核合格后支付合同款30%；</w:t>
      </w:r>
    </w:p>
    <w:p w14:paraId="25BDCBC3">
      <w:pPr>
        <w:pStyle w:val="2"/>
        <w:spacing w:line="500" w:lineRule="exact"/>
        <w:ind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（3）第三</w:t>
      </w:r>
      <w:r>
        <w:rPr>
          <w:rFonts w:hint="eastAsia" w:hAnsi="宋体" w:eastAsia="宋体" w:cs="宋体"/>
          <w:sz w:val="24"/>
          <w:szCs w:val="24"/>
          <w:highlight w:val="none"/>
          <w:lang w:val="en-US" w:eastAsia="zh-CN"/>
        </w:rPr>
        <w:t>季度</w:t>
      </w:r>
      <w:r>
        <w:rPr>
          <w:rFonts w:hint="eastAsia" w:ascii="宋体" w:hAnsi="宋体" w:eastAsia="宋体" w:cs="宋体"/>
          <w:sz w:val="24"/>
          <w:szCs w:val="24"/>
          <w:highlight w:val="none"/>
          <w:lang w:val="en-US" w:eastAsia="zh-CN"/>
        </w:rPr>
        <w:t>款：甲方对服务质量进行考核，考核合格后支付合同款</w:t>
      </w:r>
      <w:r>
        <w:rPr>
          <w:rFonts w:hint="eastAsia" w:hAnsi="宋体" w:eastAsia="宋体" w:cs="宋体"/>
          <w:sz w:val="24"/>
          <w:szCs w:val="24"/>
          <w:highlight w:val="none"/>
          <w:lang w:val="en-US" w:eastAsia="zh-CN"/>
        </w:rPr>
        <w:t>20%</w:t>
      </w:r>
      <w:r>
        <w:rPr>
          <w:rFonts w:hint="eastAsia" w:ascii="宋体" w:hAnsi="宋体" w:eastAsia="宋体" w:cs="宋体"/>
          <w:sz w:val="24"/>
          <w:szCs w:val="24"/>
          <w:highlight w:val="none"/>
          <w:lang w:val="en-US" w:eastAsia="zh-CN"/>
        </w:rPr>
        <w:t>；</w:t>
      </w:r>
    </w:p>
    <w:p w14:paraId="040966BF">
      <w:pPr>
        <w:spacing w:line="500" w:lineRule="exact"/>
        <w:ind w:firstLine="480" w:firstLineChars="200"/>
        <w:rPr>
          <w:rFonts w:hint="eastAsia" w:ascii="宋体" w:hAnsi="宋体"/>
          <w:sz w:val="24"/>
          <w:szCs w:val="24"/>
          <w:highlight w:val="none"/>
        </w:rPr>
      </w:pPr>
      <w:r>
        <w:rPr>
          <w:rFonts w:hint="eastAsia" w:ascii="宋体" w:hAnsi="宋体" w:eastAsia="宋体" w:cs="宋体"/>
          <w:sz w:val="24"/>
          <w:szCs w:val="24"/>
          <w:highlight w:val="none"/>
          <w:lang w:val="en-US" w:eastAsia="zh-CN"/>
        </w:rPr>
        <w:t>（4）第四</w:t>
      </w:r>
      <w:r>
        <w:rPr>
          <w:rFonts w:hint="eastAsia" w:hAnsi="宋体" w:eastAsia="宋体" w:cs="宋体"/>
          <w:sz w:val="24"/>
          <w:szCs w:val="24"/>
          <w:highlight w:val="none"/>
          <w:lang w:val="en-US" w:eastAsia="zh-CN"/>
        </w:rPr>
        <w:t>季度</w:t>
      </w:r>
      <w:r>
        <w:rPr>
          <w:rFonts w:hint="eastAsia" w:ascii="宋体" w:hAnsi="宋体" w:eastAsia="宋体" w:cs="宋体"/>
          <w:sz w:val="24"/>
          <w:szCs w:val="24"/>
          <w:highlight w:val="none"/>
          <w:lang w:val="en-US" w:eastAsia="zh-CN"/>
        </w:rPr>
        <w:t>款：甲方对服务质量进行考核，考核合格后支付合同尾款。</w:t>
      </w:r>
    </w:p>
    <w:p w14:paraId="074A75AD">
      <w:pPr>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rPr>
        <w:t>除</w:t>
      </w:r>
      <w:r>
        <w:rPr>
          <w:rFonts w:hint="eastAsia" w:ascii="宋体" w:hAnsi="宋体"/>
          <w:sz w:val="24"/>
          <w:szCs w:val="24"/>
          <w:highlight w:val="none"/>
          <w:lang w:val="en-US" w:eastAsia="zh-CN"/>
        </w:rPr>
        <w:t>本</w:t>
      </w:r>
      <w:r>
        <w:rPr>
          <w:rFonts w:hint="eastAsia" w:ascii="宋体" w:hAnsi="宋体"/>
          <w:sz w:val="24"/>
          <w:szCs w:val="24"/>
          <w:highlight w:val="none"/>
        </w:rPr>
        <w:t>合同另有约定外，如涉及考核扣款</w:t>
      </w:r>
      <w:r>
        <w:rPr>
          <w:rFonts w:hint="eastAsia" w:ascii="宋体" w:hAnsi="宋体"/>
          <w:sz w:val="24"/>
          <w:szCs w:val="24"/>
          <w:highlight w:val="none"/>
          <w:lang w:val="en-US" w:eastAsia="zh-CN"/>
        </w:rPr>
        <w:t>或乙方需要支付违约金（如有）</w:t>
      </w:r>
      <w:r>
        <w:rPr>
          <w:rFonts w:hint="eastAsia" w:ascii="宋体" w:hAnsi="宋体"/>
          <w:sz w:val="24"/>
          <w:szCs w:val="24"/>
          <w:highlight w:val="none"/>
        </w:rPr>
        <w:t>，甲方有权直接在待支付给乙方的款项中进行扣除，并将扣款后的剩余金额支付给乙方。</w:t>
      </w:r>
    </w:p>
    <w:p w14:paraId="03CE362D">
      <w:pPr>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rPr>
        <w:t>3、乙方每次收款前</w:t>
      </w:r>
      <w:r>
        <w:rPr>
          <w:rFonts w:hint="eastAsia" w:ascii="宋体" w:hAnsi="宋体"/>
          <w:sz w:val="24"/>
          <w:szCs w:val="24"/>
          <w:highlight w:val="none"/>
          <w:lang w:val="en-US" w:eastAsia="zh-CN"/>
        </w:rPr>
        <w:t>应</w:t>
      </w:r>
      <w:r>
        <w:rPr>
          <w:rFonts w:hint="eastAsia" w:ascii="宋体" w:hAnsi="宋体"/>
          <w:sz w:val="24"/>
          <w:szCs w:val="24"/>
          <w:highlight w:val="none"/>
        </w:rPr>
        <w:t>向甲方开具相应的税务发票</w:t>
      </w:r>
      <w:r>
        <w:rPr>
          <w:rFonts w:hint="eastAsia" w:ascii="宋体" w:hAnsi="宋体"/>
          <w:sz w:val="24"/>
          <w:szCs w:val="24"/>
          <w:highlight w:val="none"/>
          <w:lang w:eastAsia="zh-CN"/>
        </w:rPr>
        <w:t>，</w:t>
      </w:r>
      <w:r>
        <w:rPr>
          <w:rFonts w:hint="eastAsia" w:ascii="宋体" w:hAnsi="宋体"/>
          <w:sz w:val="24"/>
          <w:szCs w:val="24"/>
          <w:highlight w:val="none"/>
          <w:lang w:val="en-US" w:eastAsia="zh-CN"/>
        </w:rPr>
        <w:t>否则，甲方有权顺延付款时间</w:t>
      </w:r>
      <w:r>
        <w:rPr>
          <w:rFonts w:hint="eastAsia" w:ascii="宋体" w:hAnsi="宋体"/>
          <w:sz w:val="24"/>
          <w:szCs w:val="24"/>
          <w:highlight w:val="none"/>
        </w:rPr>
        <w:t>。</w:t>
      </w:r>
    </w:p>
    <w:p w14:paraId="7B3D2170">
      <w:pPr>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rPr>
        <w:t>4、由于本项目使用财政性资金，合同款项的支付以财政拨款日期为准。因政策、财政拨款等原因导致延迟支付合同款项的不视为甲方违约。</w:t>
      </w:r>
    </w:p>
    <w:p w14:paraId="26AB88FB">
      <w:pPr>
        <w:spacing w:line="500" w:lineRule="exact"/>
        <w:ind w:firstLine="480"/>
        <w:rPr>
          <w:rFonts w:hint="eastAsia" w:ascii="宋体" w:hAnsi="宋体"/>
          <w:b/>
          <w:sz w:val="24"/>
          <w:szCs w:val="24"/>
          <w:highlight w:val="none"/>
        </w:rPr>
      </w:pPr>
      <w:r>
        <w:rPr>
          <w:rFonts w:hint="eastAsia" w:ascii="宋体" w:hAnsi="宋体"/>
          <w:b/>
          <w:sz w:val="24"/>
          <w:szCs w:val="24"/>
          <w:highlight w:val="none"/>
        </w:rPr>
        <w:t>第七条  保证责任</w:t>
      </w:r>
    </w:p>
    <w:p w14:paraId="6FF3D70F">
      <w:pPr>
        <w:spacing w:line="500" w:lineRule="exact"/>
        <w:ind w:firstLine="480" w:firstLineChars="200"/>
        <w:rPr>
          <w:rFonts w:hint="eastAsia"/>
          <w:sz w:val="24"/>
          <w:szCs w:val="24"/>
          <w:highlight w:val="none"/>
        </w:rPr>
      </w:pPr>
      <w:r>
        <w:rPr>
          <w:rFonts w:hint="eastAsia"/>
          <w:sz w:val="24"/>
          <w:szCs w:val="24"/>
          <w:highlight w:val="none"/>
        </w:rPr>
        <w:t>1、乙方保证其在技术服务过程中所使用或提供的技术、资料的合法性、完整性、准确性，不侵犯其他任何第三方的权利，以保证本合同目的的实现。若乙方所使用或提供的技术、资料存在纠纷或争议的，乙方应在本合同签订前全部妥善解决，并保证不会影响到本合同的订立与履行。如因第三方提出知识产权的侵权之诉，则一切法律责任由乙方承担。如有第三方指控甲方接受乙方提供的产品或服务侵犯了该方的知识产权或其他合法权利，乙方应自费就上述指控为甲方辩护或进行妥善处理，并赔偿甲方及第三方因此遭受的一切损失（包括但不限于赔偿金、律师费、诉讼费等）。如乙方不为甲方辩护或不进行妥善处理，甲方可自行处理，对于甲方与第三方达成的和解协议或法院、仲裁机构作出的生效法律文书确定由甲方承担的责任和费用，及甲方自行处理所支出的合理费用（包括但不限于律师费、诉讼费、诉讼保全申请费、诉讼保全保险费、鉴定费、评估费、执行费、差旅费等），乙方同意全部承担。</w:t>
      </w:r>
    </w:p>
    <w:p w14:paraId="553023DE">
      <w:pPr>
        <w:spacing w:line="500" w:lineRule="exact"/>
        <w:ind w:firstLine="480" w:firstLineChars="200"/>
        <w:rPr>
          <w:rFonts w:hint="eastAsia" w:ascii="宋体"/>
          <w:sz w:val="24"/>
          <w:szCs w:val="24"/>
          <w:highlight w:val="none"/>
        </w:rPr>
      </w:pPr>
      <w:r>
        <w:rPr>
          <w:rFonts w:hint="eastAsia"/>
          <w:sz w:val="24"/>
          <w:szCs w:val="24"/>
          <w:highlight w:val="none"/>
        </w:rPr>
        <w:t>2、乙方保证在本合同履行期限内，未经甲方书面同意，不会将本合同项下的乙方权利与义务全部或部分转包给任何第三方或与第三方合作。</w:t>
      </w:r>
    </w:p>
    <w:p w14:paraId="0BBA196F">
      <w:pPr>
        <w:spacing w:line="500" w:lineRule="exact"/>
        <w:ind w:firstLine="480"/>
        <w:rPr>
          <w:rFonts w:hint="eastAsia" w:ascii="宋体" w:hAnsi="宋体"/>
          <w:b/>
          <w:sz w:val="24"/>
          <w:szCs w:val="24"/>
          <w:highlight w:val="none"/>
        </w:rPr>
      </w:pPr>
      <w:r>
        <w:rPr>
          <w:rFonts w:hint="eastAsia" w:ascii="宋体" w:hAnsi="宋体"/>
          <w:b/>
          <w:sz w:val="24"/>
          <w:szCs w:val="24"/>
          <w:highlight w:val="none"/>
        </w:rPr>
        <w:t xml:space="preserve">第八条  </w:t>
      </w:r>
      <w:r>
        <w:rPr>
          <w:rFonts w:hint="eastAsia" w:ascii="宋体" w:hAnsi="宋体"/>
          <w:b/>
          <w:bCs/>
          <w:sz w:val="24"/>
          <w:szCs w:val="24"/>
          <w:highlight w:val="none"/>
        </w:rPr>
        <w:t>合同变更</w:t>
      </w:r>
    </w:p>
    <w:p w14:paraId="400C42B9">
      <w:pPr>
        <w:spacing w:line="500" w:lineRule="exact"/>
        <w:ind w:firstLine="480"/>
        <w:rPr>
          <w:rFonts w:hint="eastAsia"/>
          <w:sz w:val="24"/>
          <w:szCs w:val="24"/>
          <w:highlight w:val="none"/>
        </w:rPr>
      </w:pPr>
      <w:r>
        <w:rPr>
          <w:rFonts w:hint="eastAsia"/>
          <w:sz w:val="24"/>
          <w:szCs w:val="24"/>
          <w:highlight w:val="none"/>
        </w:rPr>
        <w:t>本合同的所有内容变更必须经甲乙双方协商一致，并以书面形式确定。</w:t>
      </w:r>
    </w:p>
    <w:p w14:paraId="42D0ED5D">
      <w:pPr>
        <w:spacing w:line="500" w:lineRule="exact"/>
        <w:ind w:firstLine="480"/>
        <w:rPr>
          <w:rFonts w:hint="eastAsia" w:ascii="宋体" w:hAnsi="宋体"/>
          <w:b/>
          <w:sz w:val="24"/>
          <w:szCs w:val="24"/>
          <w:highlight w:val="none"/>
        </w:rPr>
      </w:pPr>
      <w:r>
        <w:rPr>
          <w:rFonts w:hint="eastAsia" w:ascii="宋体" w:hAnsi="宋体"/>
          <w:b/>
          <w:sz w:val="24"/>
          <w:szCs w:val="24"/>
          <w:highlight w:val="none"/>
        </w:rPr>
        <w:t xml:space="preserve">第九条  </w:t>
      </w:r>
      <w:r>
        <w:rPr>
          <w:rFonts w:hint="eastAsia" w:ascii="宋体" w:hAnsi="宋体"/>
          <w:b/>
          <w:bCs/>
          <w:sz w:val="24"/>
          <w:szCs w:val="24"/>
          <w:highlight w:val="none"/>
        </w:rPr>
        <w:t>工作会议制度</w:t>
      </w:r>
    </w:p>
    <w:p w14:paraId="56A666F6">
      <w:pPr>
        <w:spacing w:line="500" w:lineRule="exact"/>
        <w:ind w:firstLine="480"/>
        <w:rPr>
          <w:rFonts w:hint="eastAsia"/>
          <w:sz w:val="24"/>
          <w:szCs w:val="24"/>
          <w:highlight w:val="none"/>
        </w:rPr>
      </w:pPr>
      <w:r>
        <w:rPr>
          <w:rFonts w:hint="eastAsia"/>
          <w:sz w:val="24"/>
          <w:szCs w:val="24"/>
          <w:highlight w:val="none"/>
        </w:rPr>
        <w:t>在本合同履行期限内，甲方</w:t>
      </w:r>
      <w:r>
        <w:rPr>
          <w:rFonts w:hint="eastAsia"/>
          <w:sz w:val="24"/>
          <w:szCs w:val="24"/>
          <w:highlight w:val="none"/>
          <w:lang w:eastAsia="zh-CN"/>
        </w:rPr>
        <w:t>组织考核评审</w:t>
      </w:r>
      <w:r>
        <w:rPr>
          <w:rFonts w:hint="eastAsia"/>
          <w:sz w:val="24"/>
          <w:szCs w:val="24"/>
          <w:highlight w:val="none"/>
        </w:rPr>
        <w:t>工作会议</w:t>
      </w:r>
      <w:r>
        <w:rPr>
          <w:rFonts w:hint="eastAsia"/>
          <w:sz w:val="24"/>
          <w:szCs w:val="24"/>
          <w:highlight w:val="none"/>
          <w:lang w:eastAsia="zh-CN"/>
        </w:rPr>
        <w:t>。</w:t>
      </w:r>
      <w:r>
        <w:rPr>
          <w:rFonts w:hint="eastAsia"/>
          <w:sz w:val="24"/>
          <w:szCs w:val="24"/>
          <w:highlight w:val="none"/>
        </w:rPr>
        <w:t>（可视维护情况不定期召开）。</w:t>
      </w:r>
    </w:p>
    <w:p w14:paraId="63AD0065">
      <w:pPr>
        <w:spacing w:line="500" w:lineRule="exact"/>
        <w:ind w:firstLine="482" w:firstLineChars="200"/>
        <w:rPr>
          <w:rFonts w:hint="eastAsia" w:ascii="宋体" w:hAnsi="宋体"/>
          <w:b/>
          <w:sz w:val="24"/>
          <w:szCs w:val="24"/>
          <w:highlight w:val="none"/>
        </w:rPr>
      </w:pPr>
      <w:r>
        <w:rPr>
          <w:rFonts w:hint="eastAsia" w:ascii="宋体" w:hAnsi="宋体"/>
          <w:b/>
          <w:sz w:val="24"/>
          <w:szCs w:val="24"/>
          <w:highlight w:val="none"/>
        </w:rPr>
        <w:t xml:space="preserve">第十条  </w:t>
      </w:r>
      <w:r>
        <w:rPr>
          <w:rFonts w:hint="eastAsia" w:ascii="宋体" w:hAnsi="宋体"/>
          <w:b/>
          <w:bCs/>
          <w:sz w:val="24"/>
          <w:szCs w:val="24"/>
          <w:highlight w:val="none"/>
        </w:rPr>
        <w:t>乙方保密义务</w:t>
      </w:r>
    </w:p>
    <w:p w14:paraId="0FB7C85C">
      <w:pPr>
        <w:spacing w:line="500" w:lineRule="exact"/>
        <w:ind w:firstLine="480" w:firstLineChars="200"/>
        <w:rPr>
          <w:rFonts w:hint="eastAsia"/>
          <w:sz w:val="24"/>
          <w:szCs w:val="24"/>
          <w:highlight w:val="none"/>
        </w:rPr>
      </w:pPr>
      <w:r>
        <w:rPr>
          <w:rFonts w:hint="eastAsia"/>
          <w:sz w:val="24"/>
          <w:szCs w:val="24"/>
          <w:highlight w:val="none"/>
        </w:rPr>
        <w:t>1、保密内容：</w:t>
      </w:r>
      <w:r>
        <w:rPr>
          <w:rFonts w:hint="eastAsia" w:ascii="宋体" w:hAnsi="宋体"/>
          <w:sz w:val="24"/>
          <w:szCs w:val="24"/>
          <w:highlight w:val="none"/>
        </w:rPr>
        <w:t>根据《中华人民共和国保</w:t>
      </w:r>
      <w:r>
        <w:rPr>
          <w:rFonts w:hint="eastAsia" w:ascii="宋体" w:hAnsi="宋体"/>
          <w:sz w:val="24"/>
          <w:szCs w:val="24"/>
          <w:highlight w:val="none"/>
          <w:lang w:val="en-US" w:eastAsia="zh-CN"/>
        </w:rPr>
        <w:t>守国家秘</w:t>
      </w:r>
      <w:r>
        <w:rPr>
          <w:rFonts w:hint="eastAsia" w:ascii="宋体" w:hAnsi="宋体"/>
          <w:sz w:val="24"/>
          <w:szCs w:val="24"/>
          <w:highlight w:val="none"/>
        </w:rPr>
        <w:t>密法》及其他相关法规的规定，乙方在履行本合同过程中涉及的各种资料、数据、图表、文件等。</w:t>
      </w:r>
    </w:p>
    <w:p w14:paraId="31BE158E">
      <w:pPr>
        <w:spacing w:line="500" w:lineRule="exact"/>
        <w:ind w:firstLine="480" w:firstLineChars="200"/>
        <w:rPr>
          <w:rFonts w:hint="eastAsia"/>
          <w:sz w:val="24"/>
          <w:szCs w:val="24"/>
          <w:highlight w:val="none"/>
        </w:rPr>
      </w:pPr>
      <w:r>
        <w:rPr>
          <w:rFonts w:hint="eastAsia"/>
          <w:sz w:val="24"/>
          <w:szCs w:val="24"/>
          <w:highlight w:val="none"/>
        </w:rPr>
        <w:t>2、涉密人员范围：本项目维护人员和接触本项目的人员。</w:t>
      </w:r>
    </w:p>
    <w:p w14:paraId="3437BCC7">
      <w:pPr>
        <w:spacing w:line="500" w:lineRule="exact"/>
        <w:ind w:firstLine="480" w:firstLineChars="200"/>
        <w:rPr>
          <w:rFonts w:hint="eastAsia" w:eastAsia="宋体"/>
          <w:sz w:val="24"/>
          <w:szCs w:val="24"/>
          <w:highlight w:val="none"/>
          <w:lang w:eastAsia="zh-CN"/>
        </w:rPr>
      </w:pPr>
      <w:r>
        <w:rPr>
          <w:rFonts w:hint="eastAsia"/>
          <w:sz w:val="24"/>
          <w:szCs w:val="24"/>
          <w:highlight w:val="none"/>
        </w:rPr>
        <w:t>3、保密期限：</w:t>
      </w:r>
      <w:r>
        <w:rPr>
          <w:rFonts w:hint="eastAsia" w:ascii="宋体" w:hAnsi="宋体"/>
          <w:sz w:val="24"/>
          <w:szCs w:val="24"/>
          <w:highlight w:val="none"/>
        </w:rPr>
        <w:t>（1）合同履行期；（2）合同届满或合同解除之日起5年内。</w:t>
      </w:r>
    </w:p>
    <w:p w14:paraId="349560BC">
      <w:pPr>
        <w:spacing w:line="500" w:lineRule="exact"/>
        <w:ind w:firstLine="480" w:firstLineChars="200"/>
        <w:rPr>
          <w:rFonts w:hint="eastAsia" w:ascii="宋体" w:hAnsi="宋体"/>
          <w:sz w:val="24"/>
          <w:szCs w:val="24"/>
          <w:highlight w:val="none"/>
        </w:rPr>
      </w:pPr>
      <w:r>
        <w:rPr>
          <w:rFonts w:hint="eastAsia"/>
          <w:sz w:val="24"/>
          <w:szCs w:val="24"/>
          <w:highlight w:val="none"/>
        </w:rPr>
        <w:t>4、</w:t>
      </w:r>
      <w:r>
        <w:rPr>
          <w:rFonts w:hint="eastAsia" w:ascii="宋体" w:hAnsi="宋体"/>
          <w:sz w:val="24"/>
          <w:szCs w:val="24"/>
          <w:highlight w:val="none"/>
        </w:rPr>
        <w:t>保密承诺：（1）乙方保证保密内容的使用仅限于</w:t>
      </w:r>
      <w:r>
        <w:rPr>
          <w:rFonts w:hint="eastAsia" w:ascii="宋体" w:hAnsi="宋体"/>
          <w:sz w:val="24"/>
          <w:szCs w:val="24"/>
          <w:highlight w:val="none"/>
          <w:lang w:eastAsia="zh-CN"/>
        </w:rPr>
        <w:t>中山市市政府大院内及中山市政务服务中心低端信息化设备维护服务</w:t>
      </w:r>
      <w:r>
        <w:rPr>
          <w:rFonts w:hint="eastAsia" w:ascii="宋体" w:hAnsi="宋体"/>
          <w:sz w:val="24"/>
          <w:szCs w:val="24"/>
          <w:highlight w:val="none"/>
        </w:rPr>
        <w:t>项目，</w:t>
      </w:r>
      <w:r>
        <w:rPr>
          <w:rFonts w:ascii="宋体" w:hAnsi="宋体"/>
          <w:sz w:val="24"/>
          <w:szCs w:val="24"/>
          <w:highlight w:val="none"/>
        </w:rPr>
        <w:t>未经</w:t>
      </w:r>
      <w:r>
        <w:rPr>
          <w:rFonts w:hint="eastAsia" w:ascii="宋体" w:hAnsi="宋体"/>
          <w:sz w:val="24"/>
          <w:szCs w:val="24"/>
          <w:highlight w:val="none"/>
        </w:rPr>
        <w:t>甲方</w:t>
      </w:r>
      <w:r>
        <w:rPr>
          <w:rFonts w:ascii="宋体" w:hAnsi="宋体"/>
          <w:sz w:val="24"/>
          <w:szCs w:val="24"/>
          <w:highlight w:val="none"/>
        </w:rPr>
        <w:t>书面</w:t>
      </w:r>
      <w:r>
        <w:rPr>
          <w:rFonts w:hint="eastAsia" w:ascii="宋体" w:hAnsi="宋体"/>
          <w:sz w:val="24"/>
          <w:szCs w:val="24"/>
          <w:highlight w:val="none"/>
        </w:rPr>
        <w:t>同意</w:t>
      </w:r>
      <w:r>
        <w:rPr>
          <w:rFonts w:ascii="宋体" w:hAnsi="宋体"/>
          <w:sz w:val="24"/>
          <w:szCs w:val="24"/>
          <w:highlight w:val="none"/>
        </w:rPr>
        <w:t>，</w:t>
      </w:r>
      <w:r>
        <w:rPr>
          <w:rFonts w:hint="eastAsia" w:ascii="宋体" w:hAnsi="宋体"/>
          <w:sz w:val="24"/>
          <w:szCs w:val="24"/>
          <w:highlight w:val="none"/>
        </w:rPr>
        <w:t>乙方不得</w:t>
      </w:r>
      <w:r>
        <w:rPr>
          <w:rFonts w:ascii="宋体" w:hAnsi="宋体"/>
          <w:sz w:val="24"/>
          <w:szCs w:val="24"/>
          <w:highlight w:val="none"/>
        </w:rPr>
        <w:t>直接</w:t>
      </w:r>
      <w:r>
        <w:rPr>
          <w:rFonts w:hint="eastAsia" w:ascii="宋体" w:hAnsi="宋体"/>
          <w:sz w:val="24"/>
          <w:szCs w:val="24"/>
          <w:highlight w:val="none"/>
        </w:rPr>
        <w:t>或</w:t>
      </w:r>
      <w:r>
        <w:rPr>
          <w:rFonts w:ascii="宋体" w:hAnsi="宋体"/>
          <w:sz w:val="24"/>
          <w:szCs w:val="24"/>
          <w:highlight w:val="none"/>
        </w:rPr>
        <w:t>间接</w:t>
      </w:r>
      <w:r>
        <w:rPr>
          <w:rFonts w:hint="eastAsia" w:ascii="宋体" w:hAnsi="宋体"/>
          <w:sz w:val="24"/>
          <w:szCs w:val="24"/>
          <w:highlight w:val="none"/>
        </w:rPr>
        <w:t>地</w:t>
      </w:r>
      <w:r>
        <w:rPr>
          <w:rFonts w:ascii="宋体" w:hAnsi="宋体"/>
          <w:sz w:val="24"/>
          <w:szCs w:val="24"/>
          <w:highlight w:val="none"/>
        </w:rPr>
        <w:t>透露</w:t>
      </w:r>
      <w:r>
        <w:rPr>
          <w:rFonts w:hint="eastAsia" w:ascii="宋体" w:hAnsi="宋体"/>
          <w:sz w:val="24"/>
          <w:szCs w:val="24"/>
          <w:highlight w:val="none"/>
        </w:rPr>
        <w:t>或提供给</w:t>
      </w:r>
      <w:r>
        <w:rPr>
          <w:rFonts w:ascii="宋体" w:hAnsi="宋体"/>
          <w:sz w:val="24"/>
          <w:szCs w:val="24"/>
          <w:highlight w:val="none"/>
        </w:rPr>
        <w:t>任何</w:t>
      </w:r>
      <w:r>
        <w:rPr>
          <w:rFonts w:hint="eastAsia" w:ascii="宋体" w:hAnsi="宋体"/>
          <w:sz w:val="24"/>
          <w:szCs w:val="24"/>
          <w:highlight w:val="none"/>
        </w:rPr>
        <w:t>第三方（</w:t>
      </w:r>
      <w:r>
        <w:rPr>
          <w:rFonts w:hint="eastAsia"/>
          <w:sz w:val="24"/>
          <w:szCs w:val="24"/>
          <w:highlight w:val="none"/>
        </w:rPr>
        <w:t>包括按照保密制度的规定不得知悉该项内容的甲、乙双方的其他员工</w:t>
      </w:r>
      <w:r>
        <w:rPr>
          <w:rFonts w:hint="eastAsia" w:ascii="宋体" w:hAnsi="宋体"/>
          <w:sz w:val="24"/>
          <w:szCs w:val="24"/>
          <w:highlight w:val="none"/>
        </w:rPr>
        <w:t>），</w:t>
      </w:r>
      <w:r>
        <w:rPr>
          <w:rFonts w:ascii="宋体" w:hAnsi="宋体"/>
          <w:sz w:val="24"/>
          <w:szCs w:val="24"/>
          <w:highlight w:val="none"/>
        </w:rPr>
        <w:t>或</w:t>
      </w:r>
      <w:r>
        <w:rPr>
          <w:rFonts w:hint="eastAsia" w:ascii="宋体" w:hAnsi="宋体"/>
          <w:sz w:val="24"/>
          <w:szCs w:val="24"/>
          <w:highlight w:val="none"/>
        </w:rPr>
        <w:t>将其使用在</w:t>
      </w:r>
      <w:r>
        <w:rPr>
          <w:rFonts w:hint="eastAsia" w:ascii="宋体" w:hAnsi="宋体"/>
          <w:sz w:val="24"/>
          <w:szCs w:val="24"/>
          <w:highlight w:val="none"/>
          <w:lang w:eastAsia="zh-CN"/>
        </w:rPr>
        <w:t>其他</w:t>
      </w:r>
      <w:r>
        <w:rPr>
          <w:rFonts w:hint="eastAsia" w:ascii="宋体" w:hAnsi="宋体"/>
          <w:sz w:val="24"/>
          <w:szCs w:val="24"/>
          <w:highlight w:val="none"/>
        </w:rPr>
        <w:t>项目中，</w:t>
      </w:r>
      <w:r>
        <w:rPr>
          <w:rFonts w:hint="eastAsia"/>
          <w:sz w:val="24"/>
          <w:szCs w:val="24"/>
          <w:highlight w:val="none"/>
        </w:rPr>
        <w:t>也不得在履行本合同之外以任何方式使用或传播保密内容。</w:t>
      </w:r>
      <w:r>
        <w:rPr>
          <w:rFonts w:hint="eastAsia" w:ascii="宋体" w:hAnsi="宋体"/>
          <w:sz w:val="24"/>
          <w:szCs w:val="24"/>
          <w:highlight w:val="none"/>
        </w:rPr>
        <w:t>（2）乙方保证对保密内容予以保密，乙方参与维护的相关工作人员若泄露本项目相关技术资料的，乙方承担所有法律与经济责任。（3）乙方保证对保密内容不进行与本项目无关的一切复制工作。</w:t>
      </w: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乙方及其工作人员不得以任何形式将保密义务信息用于本合同之外的其他目的，不得复制、备份保密信息，且应采取必要措施防止保密信息泄露。</w:t>
      </w:r>
    </w:p>
    <w:p w14:paraId="2C8DC1EA">
      <w:pPr>
        <w:spacing w:line="500" w:lineRule="exact"/>
        <w:ind w:firstLine="482" w:firstLineChars="200"/>
        <w:outlineLvl w:val="0"/>
        <w:rPr>
          <w:rFonts w:hint="eastAsia" w:ascii="宋体" w:hAnsi="宋体"/>
          <w:b/>
          <w:bCs/>
          <w:sz w:val="24"/>
          <w:szCs w:val="24"/>
          <w:highlight w:val="none"/>
        </w:rPr>
      </w:pPr>
      <w:r>
        <w:rPr>
          <w:rFonts w:hint="eastAsia" w:ascii="宋体" w:hAnsi="宋体"/>
          <w:b/>
          <w:sz w:val="24"/>
          <w:szCs w:val="24"/>
          <w:highlight w:val="none"/>
        </w:rPr>
        <w:t xml:space="preserve">第十一条  </w:t>
      </w:r>
      <w:r>
        <w:rPr>
          <w:rFonts w:hint="eastAsia" w:ascii="宋体" w:hAnsi="宋体"/>
          <w:b/>
          <w:bCs/>
          <w:sz w:val="24"/>
          <w:szCs w:val="24"/>
          <w:highlight w:val="none"/>
        </w:rPr>
        <w:t>定期评估考核</w:t>
      </w:r>
    </w:p>
    <w:p w14:paraId="43277050">
      <w:pPr>
        <w:pStyle w:val="2"/>
        <w:spacing w:line="500" w:lineRule="exact"/>
        <w:ind w:firstLine="480" w:firstLineChars="200"/>
        <w:rPr>
          <w:rFonts w:hint="eastAsia" w:hAnsi="宋体" w:eastAsia="宋体"/>
          <w:sz w:val="24"/>
          <w:szCs w:val="24"/>
          <w:highlight w:val="none"/>
          <w:lang w:eastAsia="zh-CN"/>
        </w:rPr>
      </w:pPr>
      <w:r>
        <w:rPr>
          <w:rFonts w:hint="eastAsia" w:hAnsi="宋体"/>
          <w:sz w:val="24"/>
          <w:szCs w:val="24"/>
          <w:highlight w:val="none"/>
        </w:rPr>
        <w:t>1、</w:t>
      </w:r>
      <w:r>
        <w:rPr>
          <w:rFonts w:hint="eastAsia" w:hAnsi="宋体"/>
          <w:sz w:val="24"/>
          <w:szCs w:val="24"/>
          <w:highlight w:val="none"/>
          <w:lang w:eastAsia="zh-CN"/>
        </w:rPr>
        <w:t>甲方</w:t>
      </w:r>
      <w:r>
        <w:rPr>
          <w:rFonts w:hint="eastAsia" w:hAnsi="宋体"/>
          <w:sz w:val="24"/>
          <w:szCs w:val="24"/>
          <w:highlight w:val="none"/>
          <w:lang w:val="en-US" w:eastAsia="zh-CN"/>
        </w:rPr>
        <w:t>分别在每季度结束后</w:t>
      </w:r>
      <w:r>
        <w:rPr>
          <w:rFonts w:hAnsi="宋体"/>
          <w:sz w:val="24"/>
          <w:szCs w:val="24"/>
          <w:highlight w:val="none"/>
        </w:rPr>
        <w:t>对</w:t>
      </w:r>
      <w:r>
        <w:rPr>
          <w:rFonts w:hint="eastAsia" w:hAnsi="宋体"/>
          <w:sz w:val="24"/>
          <w:szCs w:val="24"/>
          <w:highlight w:val="none"/>
        </w:rPr>
        <w:t>乙方</w:t>
      </w:r>
      <w:r>
        <w:rPr>
          <w:rFonts w:hAnsi="宋体"/>
          <w:sz w:val="24"/>
          <w:szCs w:val="24"/>
          <w:highlight w:val="none"/>
        </w:rPr>
        <w:t>的服务质量</w:t>
      </w:r>
      <w:r>
        <w:rPr>
          <w:rFonts w:hint="eastAsia" w:hAnsi="宋体"/>
          <w:sz w:val="24"/>
          <w:szCs w:val="24"/>
          <w:highlight w:val="none"/>
        </w:rPr>
        <w:t>进行</w:t>
      </w:r>
      <w:r>
        <w:rPr>
          <w:rFonts w:hint="eastAsia" w:hAnsi="宋体"/>
          <w:sz w:val="24"/>
          <w:szCs w:val="24"/>
          <w:highlight w:val="none"/>
          <w:lang w:eastAsia="zh-CN"/>
        </w:rPr>
        <w:t>考核</w:t>
      </w:r>
      <w:r>
        <w:rPr>
          <w:rFonts w:hint="eastAsia" w:hAnsi="宋体"/>
          <w:sz w:val="24"/>
          <w:szCs w:val="24"/>
          <w:highlight w:val="none"/>
        </w:rPr>
        <w:t>，</w:t>
      </w:r>
      <w:r>
        <w:rPr>
          <w:rFonts w:hint="eastAsia" w:hAnsi="宋体"/>
          <w:sz w:val="24"/>
          <w:szCs w:val="24"/>
          <w:highlight w:val="none"/>
          <w:lang w:val="en-US" w:eastAsia="zh-CN"/>
        </w:rPr>
        <w:t>并</w:t>
      </w:r>
      <w:r>
        <w:rPr>
          <w:rFonts w:hint="eastAsia" w:hAnsi="宋体"/>
          <w:sz w:val="24"/>
          <w:szCs w:val="24"/>
          <w:highlight w:val="none"/>
        </w:rPr>
        <w:t>根据</w:t>
      </w:r>
      <w:r>
        <w:rPr>
          <w:rFonts w:hint="eastAsia" w:hAnsi="宋体"/>
          <w:sz w:val="24"/>
          <w:szCs w:val="24"/>
          <w:highlight w:val="none"/>
          <w:lang w:eastAsia="zh-CN"/>
        </w:rPr>
        <w:t>服务质量考核</w:t>
      </w:r>
      <w:r>
        <w:rPr>
          <w:rFonts w:hint="eastAsia" w:hAnsi="宋体"/>
          <w:sz w:val="24"/>
          <w:szCs w:val="24"/>
          <w:highlight w:val="none"/>
        </w:rPr>
        <w:t>结果付款</w:t>
      </w:r>
      <w:r>
        <w:rPr>
          <w:rFonts w:hint="eastAsia" w:hAnsi="宋体"/>
          <w:sz w:val="24"/>
          <w:szCs w:val="24"/>
          <w:highlight w:val="none"/>
          <w:lang w:eastAsia="zh-CN"/>
        </w:rPr>
        <w:t>。</w:t>
      </w:r>
    </w:p>
    <w:p w14:paraId="178BCBEE">
      <w:pPr>
        <w:spacing w:line="500" w:lineRule="exact"/>
        <w:ind w:firstLine="480" w:firstLineChars="200"/>
        <w:outlineLvl w:val="0"/>
        <w:rPr>
          <w:rFonts w:hint="eastAsia" w:ascii="宋体" w:hAnsi="Times New Roman" w:eastAsia="宋体" w:cs="Times New Roman"/>
          <w:sz w:val="24"/>
          <w:szCs w:val="24"/>
          <w:highlight w:val="none"/>
        </w:rPr>
      </w:pPr>
      <w:r>
        <w:rPr>
          <w:rFonts w:hint="eastAsia" w:hAnsi="宋体"/>
          <w:sz w:val="24"/>
          <w:szCs w:val="24"/>
          <w:highlight w:val="none"/>
        </w:rPr>
        <w:t>2、</w:t>
      </w:r>
      <w:r>
        <w:rPr>
          <w:rFonts w:hint="eastAsia" w:hAnsi="宋体"/>
          <w:sz w:val="24"/>
          <w:szCs w:val="24"/>
          <w:highlight w:val="none"/>
          <w:lang w:eastAsia="zh-CN"/>
        </w:rPr>
        <w:t>服务质考核</w:t>
      </w:r>
      <w:r>
        <w:rPr>
          <w:rFonts w:hint="eastAsia" w:hAnsi="宋体"/>
          <w:sz w:val="24"/>
          <w:szCs w:val="24"/>
          <w:highlight w:val="none"/>
        </w:rPr>
        <w:t>采用综合评分法</w:t>
      </w:r>
      <w:r>
        <w:rPr>
          <w:rFonts w:hint="eastAsia" w:hAnsi="宋体"/>
          <w:sz w:val="24"/>
          <w:szCs w:val="24"/>
          <w:highlight w:val="none"/>
          <w:lang w:eastAsia="zh-CN"/>
        </w:rPr>
        <w:t>，</w:t>
      </w:r>
      <w:r>
        <w:rPr>
          <w:rFonts w:hint="eastAsia" w:ascii="宋体" w:hAnsi="Times New Roman" w:eastAsia="宋体" w:cs="Times New Roman"/>
          <w:sz w:val="24"/>
          <w:szCs w:val="24"/>
          <w:highlight w:val="none"/>
        </w:rPr>
        <w:t>详见</w:t>
      </w:r>
      <w:r>
        <w:rPr>
          <w:rFonts w:hint="eastAsia" w:ascii="宋体" w:cs="Times New Roman"/>
          <w:sz w:val="24"/>
          <w:szCs w:val="24"/>
          <w:highlight w:val="none"/>
          <w:lang w:eastAsia="zh-CN"/>
        </w:rPr>
        <w:t>用户需求书中</w:t>
      </w:r>
      <w:r>
        <w:rPr>
          <w:rFonts w:hint="eastAsia" w:ascii="宋体" w:hAnsi="Times New Roman" w:eastAsia="宋体" w:cs="Times New Roman"/>
          <w:sz w:val="24"/>
          <w:szCs w:val="24"/>
          <w:highlight w:val="none"/>
          <w:lang w:val="en-US" w:eastAsia="zh-CN"/>
        </w:rPr>
        <w:t>《</w:t>
      </w:r>
      <w:r>
        <w:rPr>
          <w:rFonts w:hint="eastAsia" w:ascii="宋体" w:hAnsi="Times New Roman" w:eastAsia="宋体" w:cs="Times New Roman"/>
          <w:sz w:val="24"/>
          <w:szCs w:val="24"/>
          <w:highlight w:val="none"/>
          <w:lang w:eastAsia="zh-CN"/>
        </w:rPr>
        <w:t>中山市市政府大院内</w:t>
      </w:r>
      <w:r>
        <w:rPr>
          <w:rFonts w:hint="eastAsia" w:ascii="宋体" w:hAnsi="Times New Roman" w:eastAsia="宋体" w:cs="Times New Roman"/>
          <w:sz w:val="24"/>
          <w:szCs w:val="24"/>
          <w:highlight w:val="none"/>
        </w:rPr>
        <w:t>及中山市政务服务中心</w:t>
      </w:r>
      <w:r>
        <w:rPr>
          <w:rFonts w:hint="eastAsia" w:ascii="宋体" w:hAnsi="Times New Roman" w:eastAsia="宋体" w:cs="Times New Roman"/>
          <w:sz w:val="24"/>
          <w:szCs w:val="24"/>
          <w:highlight w:val="none"/>
          <w:lang w:eastAsia="zh-CN"/>
        </w:rPr>
        <w:t>低端信息化设备维护服务</w:t>
      </w:r>
      <w:r>
        <w:rPr>
          <w:rFonts w:hint="eastAsia" w:ascii="宋体" w:hAnsi="Times New Roman" w:eastAsia="宋体" w:cs="Times New Roman"/>
          <w:sz w:val="24"/>
          <w:szCs w:val="24"/>
          <w:highlight w:val="none"/>
        </w:rPr>
        <w:t>项目</w:t>
      </w:r>
      <w:r>
        <w:rPr>
          <w:rFonts w:hint="eastAsia" w:ascii="宋体" w:hAnsi="Times New Roman" w:eastAsia="宋体" w:cs="Times New Roman"/>
          <w:sz w:val="24"/>
          <w:szCs w:val="24"/>
          <w:highlight w:val="none"/>
          <w:lang w:eastAsia="zh-CN"/>
        </w:rPr>
        <w:t>质量考核表</w:t>
      </w:r>
      <w:r>
        <w:rPr>
          <w:rFonts w:hint="eastAsia" w:ascii="宋体" w:hAnsi="Times New Roman" w:eastAsia="宋体" w:cs="Times New Roman"/>
          <w:sz w:val="24"/>
          <w:szCs w:val="24"/>
          <w:highlight w:val="none"/>
          <w:lang w:val="en-US" w:eastAsia="zh-CN"/>
        </w:rPr>
        <w:t>》</w:t>
      </w:r>
      <w:r>
        <w:rPr>
          <w:rFonts w:hint="eastAsia" w:ascii="宋体" w:hAnsi="Times New Roman" w:eastAsia="宋体" w:cs="Times New Roman"/>
          <w:sz w:val="24"/>
          <w:szCs w:val="24"/>
          <w:highlight w:val="none"/>
          <w:lang w:eastAsia="zh-CN"/>
        </w:rPr>
        <w:t>，甲方通过服务人员考核、日常维护、运行质量、运维工作产出物质量、</w:t>
      </w:r>
      <w:r>
        <w:rPr>
          <w:rFonts w:hint="eastAsia" w:ascii="宋体" w:hAnsi="Times New Roman" w:eastAsia="宋体" w:cs="Times New Roman"/>
          <w:sz w:val="24"/>
          <w:szCs w:val="24"/>
          <w:highlight w:val="none"/>
        </w:rPr>
        <w:t>运维专项活动质量</w:t>
      </w:r>
      <w:r>
        <w:rPr>
          <w:rFonts w:hint="eastAsia" w:ascii="宋体" w:hAnsi="Times New Roman" w:eastAsia="宋体" w:cs="Times New Roman"/>
          <w:sz w:val="24"/>
          <w:szCs w:val="24"/>
          <w:highlight w:val="none"/>
          <w:lang w:eastAsia="zh-CN"/>
        </w:rPr>
        <w:t>、</w:t>
      </w:r>
      <w:r>
        <w:rPr>
          <w:rFonts w:hint="eastAsia" w:ascii="宋体" w:hAnsi="Times New Roman" w:eastAsia="宋体" w:cs="Times New Roman"/>
          <w:sz w:val="24"/>
          <w:szCs w:val="24"/>
          <w:highlight w:val="none"/>
        </w:rPr>
        <w:t>响应型服务质量</w:t>
      </w:r>
      <w:r>
        <w:rPr>
          <w:rFonts w:hint="eastAsia" w:ascii="宋体" w:hAnsi="Times New Roman" w:eastAsia="宋体" w:cs="Times New Roman"/>
          <w:sz w:val="24"/>
          <w:szCs w:val="24"/>
          <w:highlight w:val="none"/>
          <w:lang w:eastAsia="zh-CN"/>
        </w:rPr>
        <w:t>、</w:t>
      </w:r>
      <w:r>
        <w:rPr>
          <w:rFonts w:hint="eastAsia" w:ascii="宋体" w:hAnsi="Times New Roman" w:eastAsia="宋体" w:cs="Times New Roman"/>
          <w:sz w:val="24"/>
          <w:szCs w:val="24"/>
          <w:highlight w:val="none"/>
        </w:rPr>
        <w:t>服务评价</w:t>
      </w:r>
      <w:r>
        <w:rPr>
          <w:rFonts w:hint="eastAsia" w:ascii="宋体" w:hAnsi="Times New Roman" w:eastAsia="宋体" w:cs="Times New Roman"/>
          <w:sz w:val="24"/>
          <w:szCs w:val="24"/>
          <w:highlight w:val="none"/>
          <w:lang w:eastAsia="zh-CN"/>
        </w:rPr>
        <w:t>考核，</w:t>
      </w:r>
      <w:r>
        <w:rPr>
          <w:rFonts w:hint="eastAsia" w:ascii="宋体" w:hAnsi="Times New Roman" w:eastAsia="宋体" w:cs="Times New Roman"/>
          <w:sz w:val="24"/>
          <w:szCs w:val="24"/>
          <w:highlight w:val="none"/>
          <w:lang w:val="en-US" w:eastAsia="zh-CN"/>
        </w:rPr>
        <w:t>扣款系数按</w:t>
      </w:r>
      <w:r>
        <w:rPr>
          <w:rFonts w:hint="eastAsia" w:ascii="宋体" w:hAnsi="Times New Roman" w:eastAsia="宋体" w:cs="Times New Roman"/>
          <w:sz w:val="24"/>
          <w:szCs w:val="24"/>
          <w:highlight w:val="none"/>
        </w:rPr>
        <w:t>考核表的综合得分，按5个档次设置扣除款项，扣</w:t>
      </w:r>
      <w:r>
        <w:rPr>
          <w:rFonts w:hint="eastAsia" w:ascii="宋体" w:hAnsi="Times New Roman" w:eastAsia="宋体" w:cs="Times New Roman"/>
          <w:sz w:val="24"/>
          <w:szCs w:val="24"/>
          <w:highlight w:val="none"/>
          <w:lang w:eastAsia="zh-CN"/>
        </w:rPr>
        <w:t>款</w:t>
      </w:r>
      <w:r>
        <w:rPr>
          <w:rFonts w:hint="eastAsia" w:ascii="宋体" w:hAnsi="Times New Roman" w:eastAsia="宋体" w:cs="Times New Roman"/>
          <w:sz w:val="24"/>
          <w:szCs w:val="24"/>
          <w:highlight w:val="none"/>
        </w:rPr>
        <w:t>系数具体如下：</w:t>
      </w:r>
    </w:p>
    <w:p w14:paraId="10D0C4FC">
      <w:pPr>
        <w:spacing w:line="500" w:lineRule="exact"/>
        <w:ind w:firstLineChars="200"/>
        <w:outlineLvl w:val="0"/>
        <w:rPr>
          <w:rFonts w:hint="eastAsia" w:ascii="宋体" w:hAnsi="Times New Roman" w:eastAsia="宋体" w:cs="Times New Roman"/>
          <w:sz w:val="24"/>
          <w:szCs w:val="24"/>
          <w:highlight w:val="none"/>
        </w:rPr>
      </w:pPr>
      <w:r>
        <w:rPr>
          <w:rFonts w:hint="eastAsia" w:ascii="宋体" w:hAnsi="Times New Roman" w:eastAsia="宋体" w:cs="Times New Roman"/>
          <w:sz w:val="24"/>
          <w:szCs w:val="24"/>
          <w:highlight w:val="none"/>
        </w:rPr>
        <w:t>（1）90分及以上，无需扣除；</w:t>
      </w:r>
    </w:p>
    <w:p w14:paraId="78A1C7E4">
      <w:pPr>
        <w:spacing w:line="500" w:lineRule="exact"/>
        <w:ind w:firstLineChars="200"/>
        <w:outlineLvl w:val="0"/>
        <w:rPr>
          <w:rFonts w:hint="eastAsia" w:ascii="宋体" w:hAnsi="Times New Roman" w:eastAsia="宋体" w:cs="Times New Roman"/>
          <w:sz w:val="24"/>
          <w:szCs w:val="24"/>
          <w:highlight w:val="none"/>
        </w:rPr>
      </w:pPr>
      <w:r>
        <w:rPr>
          <w:rFonts w:hint="eastAsia" w:ascii="宋体" w:hAnsi="Times New Roman" w:eastAsia="宋体" w:cs="Times New Roman"/>
          <w:sz w:val="24"/>
          <w:szCs w:val="24"/>
          <w:highlight w:val="none"/>
        </w:rPr>
        <w:t>（2）80分（含）-90分（不含），扣</w:t>
      </w:r>
      <w:r>
        <w:rPr>
          <w:rFonts w:hint="eastAsia" w:ascii="宋体" w:hAnsi="Times New Roman" w:eastAsia="宋体" w:cs="Times New Roman"/>
          <w:sz w:val="24"/>
          <w:szCs w:val="24"/>
          <w:highlight w:val="none"/>
          <w:lang w:eastAsia="zh-CN"/>
        </w:rPr>
        <w:t>除当期应支付款的</w:t>
      </w:r>
      <w:r>
        <w:rPr>
          <w:rFonts w:hint="eastAsia" w:ascii="宋体" w:hAnsi="Times New Roman" w:eastAsia="宋体" w:cs="Times New Roman"/>
          <w:sz w:val="24"/>
          <w:szCs w:val="24"/>
          <w:highlight w:val="none"/>
        </w:rPr>
        <w:t>10%；</w:t>
      </w:r>
    </w:p>
    <w:p w14:paraId="2DFDE8D7">
      <w:pPr>
        <w:spacing w:line="500" w:lineRule="exact"/>
        <w:ind w:firstLineChars="200"/>
        <w:outlineLvl w:val="0"/>
        <w:rPr>
          <w:rFonts w:hint="eastAsia" w:ascii="宋体" w:hAnsi="Times New Roman" w:eastAsia="宋体" w:cs="Times New Roman"/>
          <w:sz w:val="24"/>
          <w:szCs w:val="24"/>
          <w:highlight w:val="none"/>
        </w:rPr>
      </w:pPr>
      <w:r>
        <w:rPr>
          <w:rFonts w:hint="eastAsia" w:ascii="宋体" w:hAnsi="Times New Roman" w:eastAsia="宋体" w:cs="Times New Roman"/>
          <w:sz w:val="24"/>
          <w:szCs w:val="24"/>
          <w:highlight w:val="none"/>
        </w:rPr>
        <w:t>（3）70分（含）-80分（不含），扣</w:t>
      </w:r>
      <w:r>
        <w:rPr>
          <w:rFonts w:hint="eastAsia" w:ascii="宋体" w:hAnsi="Times New Roman" w:eastAsia="宋体" w:cs="Times New Roman"/>
          <w:sz w:val="24"/>
          <w:szCs w:val="24"/>
          <w:highlight w:val="none"/>
          <w:lang w:eastAsia="zh-CN"/>
        </w:rPr>
        <w:t>除当期应支付款的</w:t>
      </w:r>
      <w:r>
        <w:rPr>
          <w:rFonts w:hint="eastAsia" w:ascii="宋体" w:hAnsi="Times New Roman" w:eastAsia="宋体" w:cs="Times New Roman"/>
          <w:sz w:val="24"/>
          <w:szCs w:val="24"/>
          <w:highlight w:val="none"/>
        </w:rPr>
        <w:t>20%；</w:t>
      </w:r>
    </w:p>
    <w:p w14:paraId="5B832A89">
      <w:pPr>
        <w:spacing w:line="500" w:lineRule="exact"/>
        <w:ind w:firstLineChars="200"/>
        <w:outlineLvl w:val="0"/>
        <w:rPr>
          <w:rFonts w:hint="eastAsia" w:ascii="宋体" w:hAnsi="Times New Roman" w:eastAsia="宋体" w:cs="Times New Roman"/>
          <w:sz w:val="24"/>
          <w:szCs w:val="24"/>
          <w:highlight w:val="none"/>
        </w:rPr>
      </w:pPr>
      <w:r>
        <w:rPr>
          <w:rFonts w:hint="eastAsia" w:ascii="宋体" w:hAnsi="Times New Roman" w:eastAsia="宋体" w:cs="Times New Roman"/>
          <w:sz w:val="24"/>
          <w:szCs w:val="24"/>
          <w:highlight w:val="none"/>
        </w:rPr>
        <w:t>（4）60分（含）-70分（不含），扣</w:t>
      </w:r>
      <w:r>
        <w:rPr>
          <w:rFonts w:hint="eastAsia" w:ascii="宋体" w:hAnsi="Times New Roman" w:eastAsia="宋体" w:cs="Times New Roman"/>
          <w:sz w:val="24"/>
          <w:szCs w:val="24"/>
          <w:highlight w:val="none"/>
          <w:lang w:eastAsia="zh-CN"/>
        </w:rPr>
        <w:t>除当期应支付款的</w:t>
      </w:r>
      <w:r>
        <w:rPr>
          <w:rFonts w:hint="eastAsia" w:ascii="宋体" w:hAnsi="Times New Roman" w:eastAsia="宋体" w:cs="Times New Roman"/>
          <w:sz w:val="24"/>
          <w:szCs w:val="24"/>
          <w:highlight w:val="none"/>
        </w:rPr>
        <w:t>30%；</w:t>
      </w:r>
    </w:p>
    <w:p w14:paraId="58873F76">
      <w:pPr>
        <w:spacing w:line="500" w:lineRule="exact"/>
        <w:ind w:firstLineChars="200"/>
        <w:outlineLvl w:val="0"/>
        <w:rPr>
          <w:rFonts w:hint="eastAsia" w:ascii="宋体" w:hAnsi="Times New Roman" w:eastAsia="宋体" w:cs="Times New Roman"/>
          <w:sz w:val="24"/>
          <w:szCs w:val="24"/>
          <w:highlight w:val="none"/>
          <w:lang w:eastAsia="zh-CN"/>
        </w:rPr>
      </w:pPr>
      <w:r>
        <w:rPr>
          <w:rFonts w:hint="eastAsia" w:ascii="宋体" w:hAnsi="Times New Roman" w:eastAsia="宋体" w:cs="Times New Roman"/>
          <w:sz w:val="24"/>
          <w:szCs w:val="24"/>
          <w:highlight w:val="none"/>
        </w:rPr>
        <w:t>（5）60分以下，扣</w:t>
      </w:r>
      <w:r>
        <w:rPr>
          <w:rFonts w:hint="eastAsia" w:ascii="宋体" w:hAnsi="Times New Roman" w:eastAsia="宋体" w:cs="Times New Roman"/>
          <w:sz w:val="24"/>
          <w:szCs w:val="24"/>
          <w:highlight w:val="none"/>
          <w:lang w:eastAsia="zh-CN"/>
        </w:rPr>
        <w:t>除当期应支付款的</w:t>
      </w:r>
      <w:r>
        <w:rPr>
          <w:rFonts w:hint="eastAsia" w:ascii="宋体" w:hAnsi="Times New Roman" w:eastAsia="宋体" w:cs="Times New Roman"/>
          <w:sz w:val="24"/>
          <w:szCs w:val="24"/>
          <w:highlight w:val="none"/>
        </w:rPr>
        <w:t>40%；</w:t>
      </w:r>
      <w:r>
        <w:rPr>
          <w:rFonts w:hint="eastAsia" w:ascii="宋体" w:hAnsi="Times New Roman" w:eastAsia="宋体" w:cs="Times New Roman"/>
          <w:sz w:val="24"/>
          <w:szCs w:val="24"/>
          <w:highlight w:val="none"/>
          <w:lang w:val="en-US" w:eastAsia="zh-CN"/>
        </w:rPr>
        <w:t>且</w:t>
      </w:r>
      <w:r>
        <w:rPr>
          <w:rFonts w:hint="eastAsia" w:ascii="宋体" w:hAnsi="Times New Roman" w:eastAsia="宋体" w:cs="Times New Roman"/>
          <w:sz w:val="24"/>
          <w:szCs w:val="24"/>
          <w:highlight w:val="none"/>
          <w:lang w:eastAsia="zh-CN"/>
        </w:rPr>
        <w:t>甲方</w:t>
      </w:r>
      <w:r>
        <w:rPr>
          <w:rFonts w:hint="eastAsia" w:ascii="宋体" w:hAnsi="Times New Roman" w:eastAsia="宋体" w:cs="Times New Roman"/>
          <w:sz w:val="24"/>
          <w:szCs w:val="24"/>
          <w:highlight w:val="none"/>
        </w:rPr>
        <w:t>可视情况有权单方解除合同，除按上述</w:t>
      </w:r>
      <w:r>
        <w:rPr>
          <w:rFonts w:hint="eastAsia" w:ascii="宋体" w:hAnsi="Times New Roman" w:eastAsia="宋体" w:cs="Times New Roman"/>
          <w:sz w:val="24"/>
          <w:szCs w:val="24"/>
          <w:highlight w:val="none"/>
          <w:lang w:val="en-US" w:eastAsia="zh-CN"/>
        </w:rPr>
        <w:t>标准扣除款项后</w:t>
      </w:r>
      <w:r>
        <w:rPr>
          <w:rFonts w:hint="eastAsia" w:ascii="宋体" w:hAnsi="Times New Roman" w:eastAsia="宋体" w:cs="Times New Roman"/>
          <w:sz w:val="24"/>
          <w:szCs w:val="24"/>
          <w:highlight w:val="none"/>
        </w:rPr>
        <w:t>支付费用外，</w:t>
      </w:r>
      <w:r>
        <w:rPr>
          <w:rFonts w:hint="eastAsia" w:ascii="宋体" w:hAnsi="Times New Roman" w:eastAsia="宋体" w:cs="Times New Roman"/>
          <w:sz w:val="24"/>
          <w:szCs w:val="24"/>
          <w:highlight w:val="none"/>
          <w:lang w:val="en-US" w:eastAsia="zh-CN"/>
        </w:rPr>
        <w:t>因此给</w:t>
      </w:r>
      <w:r>
        <w:rPr>
          <w:rFonts w:hint="eastAsia" w:ascii="宋体" w:hAnsi="Times New Roman" w:eastAsia="宋体" w:cs="Times New Roman"/>
          <w:sz w:val="24"/>
          <w:szCs w:val="24"/>
          <w:highlight w:val="none"/>
        </w:rPr>
        <w:t>甲方造成的损失由</w:t>
      </w:r>
      <w:r>
        <w:rPr>
          <w:rFonts w:hint="eastAsia" w:ascii="宋体" w:hAnsi="Times New Roman" w:eastAsia="宋体" w:cs="Times New Roman"/>
          <w:sz w:val="24"/>
          <w:szCs w:val="24"/>
          <w:highlight w:val="none"/>
          <w:lang w:eastAsia="zh-CN"/>
        </w:rPr>
        <w:t>乙方</w:t>
      </w:r>
      <w:r>
        <w:rPr>
          <w:rFonts w:hint="eastAsia" w:ascii="宋体" w:hAnsi="Times New Roman" w:eastAsia="宋体" w:cs="Times New Roman"/>
          <w:sz w:val="24"/>
          <w:szCs w:val="24"/>
          <w:highlight w:val="none"/>
        </w:rPr>
        <w:t>负责赔偿。</w:t>
      </w:r>
    </w:p>
    <w:p w14:paraId="2F331DCC">
      <w:pPr>
        <w:spacing w:line="500" w:lineRule="exact"/>
        <w:ind w:firstLine="482" w:firstLineChars="200"/>
        <w:rPr>
          <w:rFonts w:hint="eastAsia" w:ascii="宋体" w:hAnsi="宋体" w:eastAsia="宋体"/>
          <w:b/>
          <w:sz w:val="24"/>
          <w:szCs w:val="24"/>
          <w:highlight w:val="none"/>
          <w:lang w:eastAsia="zh-CN"/>
        </w:rPr>
      </w:pPr>
      <w:r>
        <w:rPr>
          <w:rFonts w:hint="eastAsia" w:ascii="宋体" w:hAnsi="宋体"/>
          <w:b/>
          <w:sz w:val="24"/>
          <w:szCs w:val="24"/>
          <w:highlight w:val="none"/>
        </w:rPr>
        <w:t>第十二条  技术服务维护工作交接</w:t>
      </w:r>
    </w:p>
    <w:p w14:paraId="3E97D5BE">
      <w:pPr>
        <w:spacing w:line="500" w:lineRule="exact"/>
        <w:ind w:firstLine="480" w:firstLineChars="200"/>
        <w:rPr>
          <w:rFonts w:hint="eastAsia" w:ascii="宋体" w:hAnsi="宋体"/>
          <w:sz w:val="24"/>
          <w:szCs w:val="24"/>
          <w:highlight w:val="none"/>
        </w:rPr>
      </w:pPr>
      <w:r>
        <w:rPr>
          <w:rFonts w:hint="eastAsia" w:ascii="宋体"/>
          <w:sz w:val="24"/>
          <w:szCs w:val="24"/>
          <w:highlight w:val="none"/>
        </w:rPr>
        <w:t>1、</w:t>
      </w:r>
      <w:r>
        <w:rPr>
          <w:rFonts w:hint="eastAsia" w:ascii="宋体" w:hAnsi="宋体"/>
          <w:sz w:val="24"/>
          <w:szCs w:val="24"/>
          <w:highlight w:val="none"/>
        </w:rPr>
        <w:t>为保证</w:t>
      </w:r>
      <w:r>
        <w:rPr>
          <w:rFonts w:hint="eastAsia" w:ascii="宋体" w:hAnsi="宋体"/>
          <w:sz w:val="24"/>
          <w:szCs w:val="24"/>
          <w:highlight w:val="none"/>
          <w:lang w:eastAsia="zh-CN"/>
        </w:rPr>
        <w:t>市政府大院内</w:t>
      </w:r>
      <w:r>
        <w:rPr>
          <w:rFonts w:hint="eastAsia" w:ascii="宋体" w:hAnsi="宋体"/>
          <w:sz w:val="24"/>
          <w:szCs w:val="24"/>
          <w:highlight w:val="none"/>
        </w:rPr>
        <w:t>及中山市政务服务中心</w:t>
      </w:r>
      <w:r>
        <w:rPr>
          <w:rFonts w:hint="eastAsia" w:ascii="宋体" w:hAnsi="宋体"/>
          <w:sz w:val="24"/>
          <w:szCs w:val="24"/>
          <w:highlight w:val="none"/>
          <w:lang w:eastAsia="zh-CN"/>
        </w:rPr>
        <w:t>低端信息化设备</w:t>
      </w:r>
      <w:r>
        <w:rPr>
          <w:rFonts w:hint="eastAsia" w:ascii="宋体" w:hAnsi="宋体"/>
          <w:sz w:val="24"/>
          <w:szCs w:val="24"/>
          <w:highlight w:val="none"/>
        </w:rPr>
        <w:t>运行维护的连续性，本合同履行期限届满后，如乙方未能取得下一期维护服务资格的</w:t>
      </w:r>
      <w:r>
        <w:rPr>
          <w:rFonts w:hint="eastAsia" w:ascii="宋体" w:hAnsi="宋体"/>
          <w:sz w:val="24"/>
          <w:szCs w:val="24"/>
          <w:highlight w:val="none"/>
          <w:lang w:val="en-US" w:eastAsia="zh-CN"/>
        </w:rPr>
        <w:t>或者本合同提前解除的</w:t>
      </w:r>
      <w:r>
        <w:rPr>
          <w:rFonts w:hint="eastAsia" w:ascii="宋体" w:hAnsi="宋体"/>
          <w:sz w:val="24"/>
          <w:szCs w:val="24"/>
          <w:highlight w:val="none"/>
        </w:rPr>
        <w:t>，</w:t>
      </w:r>
      <w:r>
        <w:rPr>
          <w:rFonts w:hint="eastAsia" w:ascii="宋体" w:hAnsi="宋体"/>
          <w:sz w:val="24"/>
          <w:szCs w:val="24"/>
          <w:highlight w:val="none"/>
          <w:lang w:val="en-US" w:eastAsia="zh-CN"/>
        </w:rPr>
        <w:t>乙方</w:t>
      </w:r>
      <w:r>
        <w:rPr>
          <w:rFonts w:hint="eastAsia" w:ascii="宋体" w:hAnsi="宋体"/>
          <w:sz w:val="24"/>
          <w:szCs w:val="24"/>
          <w:highlight w:val="none"/>
        </w:rPr>
        <w:t>应当保留经甲方认可的</w:t>
      </w:r>
      <w:r>
        <w:rPr>
          <w:rFonts w:hint="eastAsia" w:ascii="宋体" w:hAnsi="宋体"/>
          <w:sz w:val="24"/>
          <w:szCs w:val="24"/>
          <w:highlight w:val="none"/>
          <w:lang w:eastAsia="zh-CN"/>
        </w:rPr>
        <w:t>相关技术人员</w:t>
      </w:r>
      <w:r>
        <w:rPr>
          <w:rFonts w:hint="eastAsia" w:ascii="宋体" w:hAnsi="宋体"/>
          <w:sz w:val="24"/>
          <w:szCs w:val="24"/>
          <w:highlight w:val="none"/>
          <w:lang w:val="en-US" w:eastAsia="zh-CN"/>
        </w:rPr>
        <w:t>4</w:t>
      </w:r>
      <w:r>
        <w:rPr>
          <w:rFonts w:hint="eastAsia" w:ascii="宋体" w:hAnsi="宋体"/>
          <w:sz w:val="24"/>
          <w:szCs w:val="24"/>
          <w:highlight w:val="none"/>
        </w:rPr>
        <w:t>名，无偿</w:t>
      </w:r>
      <w:r>
        <w:rPr>
          <w:rFonts w:hint="eastAsia" w:ascii="宋体"/>
          <w:sz w:val="24"/>
          <w:szCs w:val="24"/>
          <w:highlight w:val="none"/>
        </w:rPr>
        <w:t>与甲方或甲方指定的</w:t>
      </w:r>
      <w:r>
        <w:rPr>
          <w:rFonts w:hint="eastAsia" w:ascii="宋体"/>
          <w:sz w:val="24"/>
          <w:szCs w:val="24"/>
          <w:highlight w:val="none"/>
          <w:lang w:val="en-US" w:eastAsia="zh-CN"/>
        </w:rPr>
        <w:t>新的服务方</w:t>
      </w:r>
      <w:r>
        <w:rPr>
          <w:rFonts w:hint="eastAsia" w:ascii="宋体"/>
          <w:sz w:val="24"/>
          <w:szCs w:val="24"/>
          <w:highlight w:val="none"/>
        </w:rPr>
        <w:t>积极进行维护工作交接</w:t>
      </w:r>
      <w:r>
        <w:rPr>
          <w:rFonts w:hint="eastAsia" w:ascii="宋体"/>
          <w:sz w:val="24"/>
          <w:szCs w:val="24"/>
          <w:highlight w:val="none"/>
          <w:lang w:eastAsia="zh-CN"/>
        </w:rPr>
        <w:t>，</w:t>
      </w:r>
      <w:r>
        <w:rPr>
          <w:rFonts w:hint="eastAsia" w:ascii="宋体" w:hAnsi="宋体"/>
          <w:sz w:val="24"/>
          <w:szCs w:val="24"/>
          <w:highlight w:val="none"/>
        </w:rPr>
        <w:t>协助新服务方做好</w:t>
      </w:r>
      <w:r>
        <w:rPr>
          <w:rFonts w:hint="eastAsia" w:ascii="宋体" w:hAnsi="宋体"/>
          <w:sz w:val="24"/>
          <w:szCs w:val="24"/>
          <w:highlight w:val="none"/>
          <w:lang w:eastAsia="zh-CN"/>
        </w:rPr>
        <w:t>市政府大院内</w:t>
      </w:r>
      <w:r>
        <w:rPr>
          <w:rFonts w:hint="eastAsia" w:ascii="宋体" w:hAnsi="宋体"/>
          <w:sz w:val="24"/>
          <w:szCs w:val="24"/>
          <w:highlight w:val="none"/>
        </w:rPr>
        <w:t>及中山市政务服务中心</w:t>
      </w:r>
      <w:r>
        <w:rPr>
          <w:rFonts w:hint="eastAsia" w:ascii="宋体" w:hAnsi="宋体"/>
          <w:sz w:val="24"/>
          <w:szCs w:val="24"/>
          <w:highlight w:val="none"/>
          <w:lang w:eastAsia="zh-CN"/>
        </w:rPr>
        <w:t>低端信息化设备</w:t>
      </w:r>
      <w:r>
        <w:rPr>
          <w:rFonts w:hint="eastAsia" w:ascii="宋体" w:hAnsi="宋体"/>
          <w:sz w:val="24"/>
          <w:szCs w:val="24"/>
          <w:highlight w:val="none"/>
        </w:rPr>
        <w:t>维护工作，</w:t>
      </w:r>
      <w:r>
        <w:rPr>
          <w:rFonts w:hint="eastAsia" w:ascii="宋体"/>
          <w:sz w:val="24"/>
          <w:szCs w:val="24"/>
          <w:highlight w:val="none"/>
        </w:rPr>
        <w:t>确保本合同项目内各系统正常运行，</w:t>
      </w:r>
      <w:r>
        <w:rPr>
          <w:rFonts w:hint="eastAsia" w:ascii="宋体" w:hAnsi="宋体"/>
          <w:sz w:val="24"/>
          <w:szCs w:val="24"/>
          <w:highlight w:val="none"/>
        </w:rPr>
        <w:t>并有责任对新服务方的相关技术人员进行维护技术培训，达到维护平稳过渡的目的。</w:t>
      </w:r>
    </w:p>
    <w:p w14:paraId="1B53D606">
      <w:pPr>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rPr>
        <w:t>（1）项目交接期：本合同履行期限届满或本合同提前终止之日起</w:t>
      </w:r>
      <w:r>
        <w:rPr>
          <w:rFonts w:hint="eastAsia" w:ascii="宋体" w:hAnsi="宋体"/>
          <w:sz w:val="24"/>
          <w:szCs w:val="24"/>
          <w:highlight w:val="none"/>
          <w:lang w:eastAsia="zh-CN"/>
        </w:rPr>
        <w:t>三个月</w:t>
      </w:r>
      <w:r>
        <w:rPr>
          <w:rFonts w:hint="eastAsia" w:ascii="宋体" w:hAnsi="宋体"/>
          <w:sz w:val="24"/>
          <w:szCs w:val="24"/>
          <w:highlight w:val="none"/>
        </w:rPr>
        <w:t>内。</w:t>
      </w:r>
    </w:p>
    <w:p w14:paraId="58FF4C72">
      <w:pPr>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rPr>
        <w:t>（2）项目进入交接期之日前10个工作日内，乙方应制定交接工作计划，明确交接期内的人员安排，各交接物件的提交内容、提交时间及主要负责人。</w:t>
      </w:r>
    </w:p>
    <w:p w14:paraId="739D861C">
      <w:pPr>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rPr>
        <w:t>（3）在项目交接期内，乙方继续负责本合同项目内的维护工作，确保项目系统的正常运行。</w:t>
      </w:r>
    </w:p>
    <w:p w14:paraId="6C32EA3C">
      <w:pPr>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rPr>
        <w:t>（4）在项目交接期内，乙方应组建工作交接工作小组，其中至少包括：</w:t>
      </w:r>
      <w:r>
        <w:rPr>
          <w:rFonts w:hint="eastAsia"/>
          <w:sz w:val="24"/>
          <w:szCs w:val="24"/>
          <w:highlight w:val="none"/>
        </w:rPr>
        <w:t>乙方项目联系人</w:t>
      </w:r>
      <w:r>
        <w:rPr>
          <w:rFonts w:hint="eastAsia"/>
          <w:sz w:val="24"/>
          <w:szCs w:val="24"/>
          <w:highlight w:val="none"/>
          <w:u w:val="single"/>
          <w:lang w:val="en-US" w:eastAsia="zh-CN"/>
        </w:rPr>
        <w:t xml:space="preserve">      </w:t>
      </w:r>
      <w:r>
        <w:rPr>
          <w:rFonts w:hint="eastAsia" w:ascii="宋体" w:hAnsi="宋体"/>
          <w:sz w:val="24"/>
          <w:szCs w:val="24"/>
          <w:highlight w:val="none"/>
        </w:rPr>
        <w:t>，负责协调乙方资源。</w:t>
      </w:r>
    </w:p>
    <w:p w14:paraId="326D2CDE">
      <w:pPr>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rPr>
        <w:t>（5）在项目交接期内，乙方须向甲方提供和项目有关的交接物件，包括但不限于如下内容：</w:t>
      </w:r>
    </w:p>
    <w:p w14:paraId="25C612D5">
      <w:pPr>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rPr>
        <w:t>A、完成工作交接后能长期做必要技术支持的联系人名单及联系方式；</w:t>
      </w:r>
    </w:p>
    <w:p w14:paraId="01DA37DA">
      <w:pPr>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rPr>
        <w:t>B、乙方项目实施小组成员掌握的系统密码、密钥及相关设备和资料；</w:t>
      </w:r>
    </w:p>
    <w:p w14:paraId="0AD845F7">
      <w:pPr>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rPr>
        <w:t>C、与项目相关的其他文档资料。</w:t>
      </w:r>
    </w:p>
    <w:p w14:paraId="19E06938">
      <w:pPr>
        <w:spacing w:line="500" w:lineRule="exact"/>
        <w:ind w:firstLine="480" w:firstLineChars="200"/>
        <w:outlineLvl w:val="0"/>
        <w:rPr>
          <w:rFonts w:hint="eastAsia" w:ascii="宋体"/>
          <w:sz w:val="24"/>
          <w:szCs w:val="24"/>
          <w:highlight w:val="none"/>
        </w:rPr>
      </w:pPr>
      <w:r>
        <w:rPr>
          <w:rFonts w:hint="eastAsia" w:ascii="宋体"/>
          <w:sz w:val="24"/>
          <w:szCs w:val="24"/>
          <w:highlight w:val="none"/>
        </w:rPr>
        <w:t>2、交接工作的所有资料及文档均须甲、乙双方签字盖章认可，方可视为交接工作完成。由于乙方原因造成交接工作未能如期完成的，交接期相应顺延。</w:t>
      </w:r>
    </w:p>
    <w:p w14:paraId="055CB582">
      <w:pPr>
        <w:spacing w:line="500" w:lineRule="exact"/>
        <w:ind w:firstLine="480" w:firstLineChars="200"/>
        <w:outlineLvl w:val="0"/>
        <w:rPr>
          <w:rFonts w:hint="eastAsia" w:ascii="宋体"/>
          <w:sz w:val="24"/>
          <w:szCs w:val="24"/>
          <w:highlight w:val="none"/>
        </w:rPr>
      </w:pPr>
      <w:r>
        <w:rPr>
          <w:rFonts w:hint="eastAsia" w:ascii="宋体"/>
          <w:sz w:val="24"/>
          <w:szCs w:val="24"/>
          <w:highlight w:val="none"/>
        </w:rPr>
        <w:t>3、项目交接期届满后，乙方有义务对本合同项目的后续工作提供必要的技术支持。</w:t>
      </w:r>
    </w:p>
    <w:p w14:paraId="34978817">
      <w:pPr>
        <w:tabs>
          <w:tab w:val="left" w:pos="900"/>
        </w:tabs>
        <w:spacing w:line="500" w:lineRule="exact"/>
        <w:ind w:firstLine="482" w:firstLineChars="200"/>
        <w:rPr>
          <w:rFonts w:hint="eastAsia" w:ascii="宋体" w:hAnsi="宋体"/>
          <w:b/>
          <w:sz w:val="24"/>
          <w:szCs w:val="24"/>
          <w:highlight w:val="none"/>
        </w:rPr>
      </w:pPr>
      <w:r>
        <w:rPr>
          <w:rFonts w:hint="eastAsia" w:ascii="宋体" w:hAnsi="宋体"/>
          <w:b/>
          <w:sz w:val="24"/>
          <w:szCs w:val="24"/>
          <w:highlight w:val="none"/>
        </w:rPr>
        <w:t>第十三条  违约责任</w:t>
      </w:r>
    </w:p>
    <w:p w14:paraId="13EE29F5">
      <w:pPr>
        <w:spacing w:line="500" w:lineRule="exact"/>
        <w:ind w:firstLine="480" w:firstLineChars="200"/>
        <w:outlineLvl w:val="0"/>
        <w:rPr>
          <w:rFonts w:hint="eastAsia" w:ascii="宋体"/>
          <w:sz w:val="24"/>
          <w:szCs w:val="24"/>
          <w:highlight w:val="none"/>
        </w:rPr>
      </w:pPr>
      <w:r>
        <w:rPr>
          <w:rFonts w:hint="eastAsia" w:ascii="宋体"/>
          <w:sz w:val="24"/>
          <w:szCs w:val="24"/>
          <w:highlight w:val="none"/>
        </w:rPr>
        <w:t>1、如乙方未能按照本合同约定履行义务或评估综合分总分不合格的，甲方有权单方解除本合同，乙方按照本合同要求完成维护工作交接后，甲方向乙方支付本合同终止前</w:t>
      </w:r>
      <w:r>
        <w:rPr>
          <w:rFonts w:hint="eastAsia" w:ascii="宋体"/>
          <w:sz w:val="24"/>
          <w:szCs w:val="24"/>
          <w:highlight w:val="none"/>
          <w:lang w:eastAsia="zh-CN"/>
        </w:rPr>
        <w:t>已发生但</w:t>
      </w:r>
      <w:r>
        <w:rPr>
          <w:rFonts w:hint="eastAsia" w:ascii="宋体"/>
          <w:sz w:val="24"/>
          <w:szCs w:val="24"/>
          <w:highlight w:val="none"/>
        </w:rPr>
        <w:t>尚未支付的</w:t>
      </w:r>
      <w:r>
        <w:rPr>
          <w:rFonts w:hint="eastAsia" w:ascii="宋体"/>
          <w:sz w:val="24"/>
          <w:szCs w:val="24"/>
          <w:highlight w:val="none"/>
          <w:lang w:val="en-US" w:eastAsia="zh-CN"/>
        </w:rPr>
        <w:t>技术</w:t>
      </w:r>
      <w:r>
        <w:rPr>
          <w:rFonts w:hint="eastAsia" w:ascii="宋体"/>
          <w:sz w:val="24"/>
          <w:szCs w:val="24"/>
          <w:highlight w:val="none"/>
        </w:rPr>
        <w:t>服务费；如乙方不按本合同要求完成维护工作交接，甲方无需支付尚未支付的</w:t>
      </w:r>
      <w:r>
        <w:rPr>
          <w:rFonts w:hint="eastAsia" w:ascii="宋体"/>
          <w:sz w:val="24"/>
          <w:szCs w:val="24"/>
          <w:highlight w:val="none"/>
          <w:lang w:val="en-US" w:eastAsia="zh-CN"/>
        </w:rPr>
        <w:t>技术</w:t>
      </w:r>
      <w:r>
        <w:rPr>
          <w:rFonts w:hint="eastAsia" w:ascii="宋体"/>
          <w:sz w:val="24"/>
          <w:szCs w:val="24"/>
          <w:highlight w:val="none"/>
        </w:rPr>
        <w:t>服务费。无论乙方是否按合同要求完成维护工作交接的，甲方均无需支付合同终止后尚未发生的</w:t>
      </w:r>
      <w:r>
        <w:rPr>
          <w:rFonts w:hint="eastAsia" w:ascii="宋体"/>
          <w:sz w:val="24"/>
          <w:szCs w:val="24"/>
          <w:highlight w:val="none"/>
          <w:lang w:val="en-US" w:eastAsia="zh-CN"/>
        </w:rPr>
        <w:t>技术</w:t>
      </w:r>
      <w:r>
        <w:rPr>
          <w:rFonts w:hint="eastAsia" w:ascii="宋体"/>
          <w:sz w:val="24"/>
          <w:szCs w:val="24"/>
          <w:highlight w:val="none"/>
        </w:rPr>
        <w:t>服务费。</w:t>
      </w:r>
    </w:p>
    <w:p w14:paraId="56B5FA68">
      <w:pPr>
        <w:spacing w:line="500" w:lineRule="exact"/>
        <w:ind w:firstLine="480" w:firstLineChars="200"/>
        <w:outlineLvl w:val="0"/>
        <w:rPr>
          <w:rFonts w:hint="eastAsia" w:ascii="宋体"/>
          <w:sz w:val="24"/>
          <w:szCs w:val="24"/>
          <w:highlight w:val="none"/>
        </w:rPr>
      </w:pPr>
      <w:r>
        <w:rPr>
          <w:rFonts w:hint="eastAsia" w:ascii="宋体"/>
          <w:sz w:val="24"/>
          <w:szCs w:val="24"/>
          <w:highlight w:val="none"/>
          <w:lang w:val="en-US" w:eastAsia="zh-CN"/>
        </w:rPr>
        <w:t>2</w:t>
      </w:r>
      <w:r>
        <w:rPr>
          <w:rFonts w:hint="eastAsia" w:ascii="宋体"/>
          <w:sz w:val="24"/>
          <w:szCs w:val="24"/>
          <w:highlight w:val="none"/>
        </w:rPr>
        <w:t>、如乙方逾期完成本合同约定的义务的，每逾期1日，乙方应向甲方支付违约金人民币壹仟元（¥1000.00元）。逾期超过30日，</w:t>
      </w:r>
      <w:r>
        <w:rPr>
          <w:rFonts w:hint="eastAsia" w:ascii="宋体" w:hAnsi="宋体"/>
          <w:sz w:val="24"/>
          <w:szCs w:val="24"/>
          <w:highlight w:val="none"/>
        </w:rPr>
        <w:t>甲方有权单方解除合同，且不支付当期及后期的技术服务费，</w:t>
      </w:r>
      <w:r>
        <w:rPr>
          <w:rFonts w:hint="eastAsia" w:ascii="宋体" w:hAnsi="宋体"/>
          <w:sz w:val="24"/>
          <w:szCs w:val="24"/>
          <w:highlight w:val="none"/>
          <w:lang w:val="en-US" w:eastAsia="zh-CN"/>
        </w:rPr>
        <w:t>因此给甲方造成的损失由乙方负责赔偿</w:t>
      </w:r>
      <w:r>
        <w:rPr>
          <w:rFonts w:hint="eastAsia" w:ascii="宋体" w:hAnsi="宋体"/>
          <w:sz w:val="24"/>
          <w:szCs w:val="24"/>
          <w:highlight w:val="none"/>
        </w:rPr>
        <w:t>。</w:t>
      </w:r>
    </w:p>
    <w:p w14:paraId="03D07E61">
      <w:pPr>
        <w:spacing w:line="500" w:lineRule="exact"/>
        <w:ind w:firstLine="480" w:firstLineChars="200"/>
        <w:outlineLvl w:val="0"/>
        <w:rPr>
          <w:rFonts w:hint="eastAsia" w:ascii="宋体"/>
          <w:sz w:val="24"/>
          <w:szCs w:val="24"/>
          <w:highlight w:val="none"/>
        </w:rPr>
      </w:pPr>
      <w:r>
        <w:rPr>
          <w:rFonts w:hint="eastAsia" w:ascii="宋体"/>
          <w:sz w:val="24"/>
          <w:szCs w:val="24"/>
          <w:highlight w:val="none"/>
          <w:lang w:val="en-US" w:eastAsia="zh-CN"/>
        </w:rPr>
        <w:t>3</w:t>
      </w:r>
      <w:r>
        <w:rPr>
          <w:rFonts w:hint="eastAsia" w:ascii="宋体"/>
          <w:sz w:val="24"/>
          <w:szCs w:val="24"/>
          <w:highlight w:val="none"/>
        </w:rPr>
        <w:t>、因系统运行漏洞或乙方项目组人员失误操作造成重大故障、蓄意破坏信息系统设施、发布非法信息或造成泄密事件的，或因乙方及其人员以任何手段、利用甲方平台规则漏洞或系统漏洞，套取甲方系统信息、数据等，一经查证，则视作乙方严重违约，甲方有权单方解除本合同，双方按实进行结算（不足一个月按一个月计算），但乙方应向甲方支付本合同总价的20%违约金；如违约金不能足额赔偿甲方损失的，乙方还须赔偿甲方所遭受的一切损失。</w:t>
      </w:r>
    </w:p>
    <w:p w14:paraId="7D2B2530">
      <w:pPr>
        <w:spacing w:line="500" w:lineRule="exact"/>
        <w:ind w:firstLine="480" w:firstLineChars="200"/>
        <w:outlineLvl w:val="0"/>
        <w:rPr>
          <w:rFonts w:hint="eastAsia" w:ascii="宋体"/>
          <w:sz w:val="24"/>
          <w:szCs w:val="24"/>
          <w:highlight w:val="none"/>
        </w:rPr>
      </w:pPr>
      <w:r>
        <w:rPr>
          <w:rFonts w:hint="eastAsia" w:ascii="宋体"/>
          <w:sz w:val="24"/>
          <w:szCs w:val="24"/>
          <w:highlight w:val="none"/>
          <w:lang w:val="en-US" w:eastAsia="zh-CN"/>
        </w:rPr>
        <w:t>4、</w:t>
      </w:r>
      <w:r>
        <w:rPr>
          <w:rFonts w:hint="eastAsia" w:ascii="宋体"/>
          <w:sz w:val="24"/>
          <w:szCs w:val="24"/>
          <w:highlight w:val="none"/>
        </w:rPr>
        <w:t>在本合同履行期限内，如乙方提前解除本合同的，甲方无需向乙方支付尚未支付的</w:t>
      </w:r>
      <w:r>
        <w:rPr>
          <w:rFonts w:hint="eastAsia" w:ascii="宋体"/>
          <w:sz w:val="24"/>
          <w:szCs w:val="24"/>
          <w:highlight w:val="none"/>
          <w:lang w:val="en-US" w:eastAsia="zh-CN"/>
        </w:rPr>
        <w:t>技术</w:t>
      </w:r>
      <w:r>
        <w:rPr>
          <w:rFonts w:hint="eastAsia" w:ascii="宋体"/>
          <w:sz w:val="24"/>
          <w:szCs w:val="24"/>
          <w:highlight w:val="none"/>
        </w:rPr>
        <w:t>服务费，乙方仍应按照本合同约定进行维护工作交接，并向甲方支付违约金人民币贰万元（¥</w:t>
      </w:r>
      <w:r>
        <w:rPr>
          <w:rFonts w:ascii="宋体"/>
          <w:sz w:val="24"/>
          <w:szCs w:val="24"/>
          <w:highlight w:val="none"/>
        </w:rPr>
        <w:t>2</w:t>
      </w:r>
      <w:r>
        <w:rPr>
          <w:rFonts w:hint="eastAsia" w:ascii="宋体"/>
          <w:sz w:val="24"/>
          <w:szCs w:val="24"/>
          <w:highlight w:val="none"/>
        </w:rPr>
        <w:t>0000.00元）</w:t>
      </w:r>
      <w:r>
        <w:rPr>
          <w:rFonts w:hint="eastAsia" w:ascii="宋体"/>
          <w:sz w:val="24"/>
          <w:szCs w:val="24"/>
          <w:highlight w:val="none"/>
          <w:lang w:eastAsia="zh-CN"/>
        </w:rPr>
        <w:t>，</w:t>
      </w:r>
      <w:r>
        <w:rPr>
          <w:rFonts w:hint="eastAsia" w:ascii="宋体" w:hAnsi="宋体"/>
          <w:sz w:val="24"/>
          <w:szCs w:val="24"/>
          <w:highlight w:val="none"/>
          <w:lang w:val="en-US" w:eastAsia="zh-CN"/>
        </w:rPr>
        <w:t>因此给甲方造成的损失由乙方负责赔偿</w:t>
      </w:r>
      <w:r>
        <w:rPr>
          <w:rFonts w:hint="eastAsia" w:ascii="宋体"/>
          <w:sz w:val="24"/>
          <w:szCs w:val="24"/>
          <w:highlight w:val="none"/>
        </w:rPr>
        <w:t>。</w:t>
      </w:r>
    </w:p>
    <w:p w14:paraId="532CAD4D">
      <w:pPr>
        <w:spacing w:line="500" w:lineRule="exact"/>
        <w:ind w:firstLine="480" w:firstLineChars="200"/>
        <w:outlineLvl w:val="0"/>
        <w:rPr>
          <w:rFonts w:hint="eastAsia" w:ascii="宋体"/>
          <w:sz w:val="24"/>
          <w:szCs w:val="24"/>
          <w:highlight w:val="none"/>
        </w:rPr>
      </w:pPr>
      <w:r>
        <w:rPr>
          <w:rFonts w:hint="eastAsia"/>
          <w:sz w:val="24"/>
          <w:szCs w:val="24"/>
          <w:highlight w:val="none"/>
          <w:lang w:val="en-US" w:eastAsia="zh-CN"/>
        </w:rPr>
        <w:t>5</w:t>
      </w:r>
      <w:r>
        <w:rPr>
          <w:rFonts w:hint="eastAsia"/>
          <w:sz w:val="24"/>
          <w:szCs w:val="24"/>
          <w:highlight w:val="none"/>
        </w:rPr>
        <w:t>、由于乙方过错造成甲方的设备、资料等损坏或丢失的，乙方应当赔偿甲方损失。</w:t>
      </w:r>
    </w:p>
    <w:p w14:paraId="445E9D53">
      <w:pPr>
        <w:spacing w:line="500" w:lineRule="exact"/>
        <w:ind w:firstLine="480" w:firstLineChars="200"/>
        <w:outlineLvl w:val="0"/>
        <w:rPr>
          <w:rFonts w:hint="eastAsia"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、在本合同履行过程中，由于乙方的过错造成平台停止运行或发生重大质量事故的，甲方有权提前解除合同，乙方承担因此造成的一切责任，并赔偿甲方由此造成的全部损失。</w:t>
      </w:r>
    </w:p>
    <w:p w14:paraId="3619B3DD">
      <w:pPr>
        <w:spacing w:line="500" w:lineRule="exact"/>
        <w:ind w:firstLine="480" w:firstLineChars="200"/>
        <w:outlineLvl w:val="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、甲方无正当理由不按时支付技术服务费，经乙方书面催告2个月后，甲方仍不履行的，乙方有权单方解除合同，并要求甲方支付该期的技术服务费。</w:t>
      </w:r>
    </w:p>
    <w:p w14:paraId="29C403AE">
      <w:pPr>
        <w:spacing w:line="500" w:lineRule="exact"/>
        <w:ind w:firstLine="480" w:firstLineChars="200"/>
        <w:outlineLvl w:val="0"/>
        <w:rPr>
          <w:rFonts w:hint="eastAsia" w:eastAsia="宋体"/>
          <w:sz w:val="24"/>
          <w:szCs w:val="24"/>
          <w:highlight w:val="none"/>
          <w:lang w:val="en-US" w:eastAsia="zh-CN"/>
        </w:rPr>
      </w:pPr>
      <w:r>
        <w:rPr>
          <w:rFonts w:hint="eastAsia"/>
          <w:sz w:val="24"/>
          <w:szCs w:val="24"/>
          <w:highlight w:val="none"/>
          <w:lang w:val="en-US" w:eastAsia="zh-CN"/>
        </w:rPr>
        <w:t>8、本合同所述的损失范围包括但不限于第三方索赔、行政处罚、律师费、诉讼费、诉讼保全申请费、诉讼保全保险费、鉴定费、评估费、公证费、采取补救措施而支出的费用等合理费用。</w:t>
      </w:r>
    </w:p>
    <w:p w14:paraId="792AAA8A">
      <w:pPr>
        <w:spacing w:line="500" w:lineRule="exact"/>
        <w:ind w:firstLine="480"/>
        <w:rPr>
          <w:rFonts w:hint="eastAsia" w:ascii="宋体" w:hAnsi="宋体"/>
          <w:b/>
          <w:bCs/>
          <w:sz w:val="24"/>
          <w:szCs w:val="24"/>
          <w:highlight w:val="none"/>
        </w:rPr>
      </w:pPr>
      <w:r>
        <w:rPr>
          <w:rFonts w:hint="eastAsia" w:ascii="宋体" w:hAnsi="宋体"/>
          <w:b/>
          <w:sz w:val="24"/>
          <w:szCs w:val="24"/>
          <w:highlight w:val="none"/>
        </w:rPr>
        <w:t xml:space="preserve">第十四条  </w:t>
      </w:r>
      <w:r>
        <w:rPr>
          <w:rFonts w:hint="eastAsia" w:ascii="宋体" w:hAnsi="宋体"/>
          <w:b/>
          <w:bCs/>
          <w:sz w:val="24"/>
          <w:szCs w:val="24"/>
          <w:highlight w:val="none"/>
        </w:rPr>
        <w:t>项目联系人</w:t>
      </w:r>
    </w:p>
    <w:p w14:paraId="0C76CCEF">
      <w:pPr>
        <w:spacing w:line="500" w:lineRule="exact"/>
        <w:ind w:left="0" w:leftChars="0" w:firstLine="480" w:firstLineChars="200"/>
        <w:rPr>
          <w:rFonts w:hint="eastAsia"/>
          <w:sz w:val="24"/>
          <w:szCs w:val="24"/>
          <w:highlight w:val="none"/>
        </w:rPr>
      </w:pPr>
      <w:r>
        <w:rPr>
          <w:rFonts w:hint="eastAsia"/>
          <w:sz w:val="24"/>
          <w:szCs w:val="24"/>
          <w:highlight w:val="none"/>
        </w:rPr>
        <w:t>1、为有效履行本合同，甲、乙双方确定，在本合同履行期内，甲方指定</w:t>
      </w:r>
      <w:r>
        <w:rPr>
          <w:rFonts w:hint="eastAsia"/>
          <w:sz w:val="24"/>
          <w:szCs w:val="24"/>
          <w:highlight w:val="none"/>
          <w:u w:val="single"/>
          <w:lang w:val="en-US" w:eastAsia="zh-CN"/>
        </w:rPr>
        <w:t xml:space="preserve">     </w:t>
      </w:r>
      <w:r>
        <w:rPr>
          <w:rFonts w:hint="eastAsia"/>
          <w:sz w:val="24"/>
          <w:szCs w:val="24"/>
          <w:highlight w:val="none"/>
        </w:rPr>
        <w:t>为甲方项目联系人，乙方指定</w:t>
      </w:r>
      <w:r>
        <w:rPr>
          <w:rFonts w:hint="eastAsia"/>
          <w:sz w:val="24"/>
          <w:szCs w:val="24"/>
          <w:highlight w:val="none"/>
          <w:u w:val="single"/>
          <w:lang w:val="en-US" w:eastAsia="zh-CN"/>
        </w:rPr>
        <w:t xml:space="preserve">         </w:t>
      </w:r>
      <w:r>
        <w:rPr>
          <w:rFonts w:hint="eastAsia"/>
          <w:sz w:val="24"/>
          <w:szCs w:val="24"/>
          <w:highlight w:val="none"/>
        </w:rPr>
        <w:t>为乙方项目联系人。</w:t>
      </w:r>
    </w:p>
    <w:p w14:paraId="0872F2B3">
      <w:pPr>
        <w:spacing w:line="500" w:lineRule="exact"/>
        <w:ind w:firstLine="480" w:firstLineChars="200"/>
        <w:rPr>
          <w:rFonts w:hint="eastAsia"/>
          <w:sz w:val="24"/>
          <w:szCs w:val="24"/>
          <w:highlight w:val="none"/>
        </w:rPr>
      </w:pPr>
      <w:r>
        <w:rPr>
          <w:rFonts w:hint="eastAsia"/>
          <w:sz w:val="24"/>
          <w:szCs w:val="24"/>
          <w:highlight w:val="none"/>
        </w:rPr>
        <w:t>2、一方变更项目联系人的，应当及时并以书面形式通知另一方，因未及时通知并影响本合同履行或造成损失的，由变更方承担相应的责任。</w:t>
      </w:r>
    </w:p>
    <w:p w14:paraId="60B3552E">
      <w:pPr>
        <w:spacing w:line="500" w:lineRule="exact"/>
        <w:ind w:firstLine="482" w:firstLineChars="200"/>
        <w:rPr>
          <w:rFonts w:hint="eastAsia" w:ascii="宋体" w:hAnsi="宋体"/>
          <w:b/>
          <w:sz w:val="24"/>
          <w:szCs w:val="24"/>
          <w:highlight w:val="none"/>
        </w:rPr>
      </w:pPr>
      <w:r>
        <w:rPr>
          <w:rFonts w:hint="eastAsia" w:ascii="宋体" w:hAnsi="宋体"/>
          <w:b/>
          <w:bCs/>
          <w:sz w:val="24"/>
          <w:szCs w:val="24"/>
          <w:highlight w:val="none"/>
        </w:rPr>
        <w:t>第十五条</w:t>
      </w:r>
      <w:r>
        <w:rPr>
          <w:rFonts w:hint="eastAsia" w:ascii="宋体" w:hAnsi="宋体"/>
          <w:b/>
          <w:sz w:val="24"/>
          <w:szCs w:val="24"/>
          <w:highlight w:val="none"/>
        </w:rPr>
        <w:t xml:space="preserve">  不可抗力</w:t>
      </w:r>
    </w:p>
    <w:p w14:paraId="77859952">
      <w:pPr>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rPr>
        <w:t>1、由于不可抗力，直接影响本合同的履行或者不能按照本合同的约定履行时，遇有上述不可抗力的一方可以免除相关合同责任。但遇有上述不可抗力的一方应立即书面通知对方，并在15天之内提供不可抗力的详细情况及合同不能履行，或者部分不能履行，或者需要延期履行的理由和有效的证明文件。按不可抗力对履行合同影响的程度，由甲、乙双方协商决定是否解除本合同，或者部分免除履行本合同的义务，或者延期履行本合同。一方迟延履行本合同时发生不可抗力的，迟延方的合同义务不能免除。</w:t>
      </w:r>
    </w:p>
    <w:p w14:paraId="5C31296B">
      <w:pPr>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rPr>
        <w:t>2、受到不可抗力影响的一方，应尽可能地采取合理的行为和适当的措施减轻不可抗力对本合同的履行所造成的影响。没有采取适当措施致使损失扩大的，该方不得就扩大损失的部分要求免责或赔偿。</w:t>
      </w:r>
    </w:p>
    <w:p w14:paraId="74C6F435">
      <w:pPr>
        <w:spacing w:line="500" w:lineRule="exact"/>
        <w:ind w:firstLine="482" w:firstLineChars="200"/>
        <w:rPr>
          <w:rFonts w:hint="eastAsia" w:ascii="宋体" w:hAnsi="宋体"/>
          <w:b/>
          <w:sz w:val="24"/>
          <w:szCs w:val="24"/>
          <w:highlight w:val="none"/>
        </w:rPr>
      </w:pPr>
      <w:r>
        <w:rPr>
          <w:rFonts w:hint="eastAsia" w:ascii="宋体" w:hAnsi="宋体"/>
          <w:b/>
          <w:sz w:val="24"/>
          <w:szCs w:val="24"/>
          <w:highlight w:val="none"/>
        </w:rPr>
        <w:t>第十</w:t>
      </w:r>
      <w:r>
        <w:rPr>
          <w:rFonts w:hint="eastAsia" w:ascii="宋体" w:hAnsi="宋体"/>
          <w:b/>
          <w:sz w:val="24"/>
          <w:szCs w:val="24"/>
          <w:highlight w:val="none"/>
          <w:lang w:val="en-US" w:eastAsia="zh-CN"/>
        </w:rPr>
        <w:t>六</w:t>
      </w:r>
      <w:r>
        <w:rPr>
          <w:rFonts w:hint="eastAsia" w:ascii="宋体" w:hAnsi="宋体"/>
          <w:b/>
          <w:sz w:val="24"/>
          <w:szCs w:val="24"/>
          <w:highlight w:val="none"/>
        </w:rPr>
        <w:t>条  争端的解决</w:t>
      </w:r>
    </w:p>
    <w:p w14:paraId="0D784634">
      <w:pPr>
        <w:spacing w:line="500" w:lineRule="exact"/>
        <w:ind w:firstLine="480" w:firstLineChars="200"/>
        <w:outlineLvl w:val="0"/>
        <w:rPr>
          <w:rFonts w:hint="eastAsia" w:ascii="宋体"/>
          <w:sz w:val="24"/>
          <w:szCs w:val="24"/>
          <w:highlight w:val="none"/>
        </w:rPr>
      </w:pPr>
      <w:r>
        <w:rPr>
          <w:rFonts w:hint="eastAsia" w:ascii="宋体"/>
          <w:sz w:val="24"/>
          <w:szCs w:val="24"/>
          <w:highlight w:val="none"/>
        </w:rPr>
        <w:t>1、凡与本合同有关而引起一切争议，甲、乙双方应首先通过友好协商解决；如经协商后仍不能达成协议，任何一方均可向</w:t>
      </w:r>
      <w:r>
        <w:rPr>
          <w:rFonts w:hint="eastAsia" w:ascii="宋体"/>
          <w:sz w:val="24"/>
          <w:szCs w:val="24"/>
          <w:highlight w:val="none"/>
          <w:lang w:val="en-US" w:eastAsia="zh-CN"/>
        </w:rPr>
        <w:t>甲方所在地</w:t>
      </w:r>
      <w:r>
        <w:rPr>
          <w:rFonts w:hint="eastAsia" w:ascii="宋体"/>
          <w:sz w:val="24"/>
          <w:szCs w:val="24"/>
          <w:highlight w:val="none"/>
        </w:rPr>
        <w:t>有管辖权的法院提出诉讼。</w:t>
      </w:r>
    </w:p>
    <w:p w14:paraId="4C87C596">
      <w:pPr>
        <w:spacing w:line="500" w:lineRule="exact"/>
        <w:ind w:firstLine="480" w:firstLineChars="200"/>
        <w:outlineLvl w:val="0"/>
        <w:rPr>
          <w:rFonts w:hint="eastAsia" w:ascii="宋体"/>
          <w:sz w:val="24"/>
          <w:szCs w:val="24"/>
          <w:highlight w:val="none"/>
        </w:rPr>
      </w:pPr>
      <w:r>
        <w:rPr>
          <w:rFonts w:hint="eastAsia" w:ascii="宋体"/>
          <w:sz w:val="24"/>
          <w:szCs w:val="24"/>
          <w:highlight w:val="none"/>
        </w:rPr>
        <w:t>2、在进行法院审理期间，除提交法院审理的事项外，本合同其他部分仍应继续履行（本合同被解除或终止的除外）。</w:t>
      </w:r>
    </w:p>
    <w:p w14:paraId="30894D5B">
      <w:pPr>
        <w:spacing w:line="500" w:lineRule="exact"/>
        <w:ind w:firstLine="480" w:firstLineChars="200"/>
        <w:outlineLvl w:val="0"/>
        <w:rPr>
          <w:rFonts w:hint="eastAsia" w:ascii="宋体"/>
          <w:sz w:val="24"/>
          <w:szCs w:val="24"/>
          <w:highlight w:val="none"/>
        </w:rPr>
      </w:pPr>
      <w:r>
        <w:rPr>
          <w:rFonts w:hint="eastAsia" w:ascii="宋体"/>
          <w:sz w:val="24"/>
          <w:szCs w:val="24"/>
          <w:highlight w:val="none"/>
        </w:rPr>
        <w:t>3、本合同按照中华人民共和国的法律进行解释（不包括香港、澳门和台湾地区，且排除冲突规范）。</w:t>
      </w:r>
    </w:p>
    <w:p w14:paraId="7EC60C3D">
      <w:pPr>
        <w:spacing w:line="500" w:lineRule="exact"/>
        <w:ind w:firstLine="482" w:firstLineChars="200"/>
        <w:outlineLvl w:val="0"/>
        <w:rPr>
          <w:rFonts w:hint="eastAsia" w:ascii="宋体" w:hAnsi="宋体"/>
          <w:b/>
          <w:sz w:val="24"/>
          <w:szCs w:val="24"/>
          <w:highlight w:val="none"/>
        </w:rPr>
      </w:pPr>
      <w:r>
        <w:rPr>
          <w:rFonts w:hint="eastAsia" w:ascii="宋体" w:hAnsi="宋体"/>
          <w:b/>
          <w:sz w:val="24"/>
          <w:szCs w:val="24"/>
          <w:highlight w:val="none"/>
        </w:rPr>
        <w:t>第十</w:t>
      </w:r>
      <w:r>
        <w:rPr>
          <w:rFonts w:hint="eastAsia" w:ascii="宋体" w:hAnsi="宋体"/>
          <w:b/>
          <w:sz w:val="24"/>
          <w:szCs w:val="24"/>
          <w:highlight w:val="none"/>
          <w:lang w:val="en-US" w:eastAsia="zh-CN"/>
        </w:rPr>
        <w:t>七</w:t>
      </w:r>
      <w:r>
        <w:rPr>
          <w:rFonts w:hint="eastAsia" w:ascii="宋体" w:hAnsi="宋体"/>
          <w:b/>
          <w:sz w:val="24"/>
          <w:szCs w:val="24"/>
          <w:highlight w:val="none"/>
        </w:rPr>
        <w:t xml:space="preserve">条  </w:t>
      </w:r>
      <w:r>
        <w:rPr>
          <w:rFonts w:hint="eastAsia" w:ascii="宋体" w:hAnsi="宋体"/>
          <w:b/>
          <w:sz w:val="24"/>
          <w:szCs w:val="24"/>
          <w:highlight w:val="none"/>
          <w:lang w:eastAsia="zh-CN"/>
        </w:rPr>
        <w:t>其他</w:t>
      </w:r>
    </w:p>
    <w:p w14:paraId="16D6FBA5">
      <w:pPr>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rPr>
        <w:t>1、本合同未约定的事项，甲、乙双方可另行协商，订立补充协议。</w:t>
      </w:r>
    </w:p>
    <w:p w14:paraId="2085D4F0">
      <w:pPr>
        <w:spacing w:line="500" w:lineRule="exact"/>
        <w:ind w:firstLine="480" w:firstLineChars="200"/>
        <w:rPr>
          <w:rFonts w:hint="eastAsia" w:ascii="宋体" w:hAnsi="宋体"/>
          <w:sz w:val="24"/>
          <w:szCs w:val="24"/>
          <w:highlight w:val="none"/>
          <w:lang w:val="en-US" w:eastAsia="zh-CN"/>
        </w:rPr>
      </w:pPr>
      <w:r>
        <w:rPr>
          <w:rFonts w:hint="eastAsia" w:ascii="宋体" w:hAnsi="宋体"/>
          <w:sz w:val="24"/>
          <w:szCs w:val="24"/>
          <w:highlight w:val="none"/>
        </w:rPr>
        <w:t>2、本合同一式</w:t>
      </w:r>
      <w:r>
        <w:rPr>
          <w:rFonts w:hint="eastAsia" w:ascii="宋体" w:hAnsi="宋体"/>
          <w:sz w:val="24"/>
          <w:szCs w:val="24"/>
          <w:highlight w:val="none"/>
          <w:lang w:val="en-US" w:eastAsia="zh-CN"/>
        </w:rPr>
        <w:t>陆</w:t>
      </w:r>
      <w:r>
        <w:rPr>
          <w:rFonts w:hint="eastAsia" w:ascii="宋体" w:hAnsi="宋体"/>
          <w:sz w:val="24"/>
          <w:szCs w:val="24"/>
          <w:highlight w:val="none"/>
        </w:rPr>
        <w:t>份，甲</w:t>
      </w:r>
      <w:r>
        <w:rPr>
          <w:rFonts w:hint="eastAsia" w:ascii="宋体" w:hAnsi="宋体"/>
          <w:sz w:val="24"/>
          <w:szCs w:val="24"/>
          <w:highlight w:val="none"/>
          <w:lang w:val="en-US" w:eastAsia="zh-CN"/>
        </w:rPr>
        <w:t>乙双</w:t>
      </w:r>
      <w:r>
        <w:rPr>
          <w:rFonts w:hint="eastAsia" w:ascii="宋体" w:hAnsi="宋体"/>
          <w:sz w:val="24"/>
          <w:szCs w:val="24"/>
          <w:highlight w:val="none"/>
        </w:rPr>
        <w:t>方</w:t>
      </w:r>
      <w:r>
        <w:rPr>
          <w:rFonts w:hint="eastAsia" w:ascii="宋体" w:hAnsi="宋体"/>
          <w:sz w:val="24"/>
          <w:szCs w:val="24"/>
          <w:highlight w:val="none"/>
          <w:lang w:val="en-US" w:eastAsia="zh-CN"/>
        </w:rPr>
        <w:t>各</w:t>
      </w:r>
      <w:r>
        <w:rPr>
          <w:rFonts w:hint="eastAsia" w:ascii="宋体" w:hAnsi="宋体"/>
          <w:sz w:val="24"/>
          <w:szCs w:val="24"/>
          <w:highlight w:val="none"/>
        </w:rPr>
        <w:t>执</w:t>
      </w:r>
      <w:r>
        <w:rPr>
          <w:rFonts w:hint="eastAsia" w:ascii="宋体" w:hAnsi="宋体"/>
          <w:sz w:val="24"/>
          <w:szCs w:val="24"/>
          <w:highlight w:val="none"/>
          <w:lang w:val="en-US" w:eastAsia="zh-CN"/>
        </w:rPr>
        <w:t>叁</w:t>
      </w:r>
      <w:r>
        <w:rPr>
          <w:rFonts w:hint="eastAsia" w:ascii="宋体" w:hAnsi="宋体"/>
          <w:sz w:val="24"/>
          <w:szCs w:val="24"/>
          <w:highlight w:val="none"/>
        </w:rPr>
        <w:t>份</w:t>
      </w:r>
      <w:r>
        <w:rPr>
          <w:rFonts w:hint="eastAsia" w:ascii="宋体" w:hAnsi="宋体"/>
          <w:sz w:val="24"/>
          <w:szCs w:val="24"/>
          <w:highlight w:val="none"/>
          <w:lang w:eastAsia="zh-CN"/>
        </w:rPr>
        <w:t>，</w:t>
      </w:r>
      <w:r>
        <w:rPr>
          <w:rFonts w:hint="eastAsia" w:ascii="宋体" w:hAnsi="宋体"/>
          <w:sz w:val="24"/>
          <w:szCs w:val="24"/>
          <w:highlight w:val="none"/>
          <w:lang w:val="en-US" w:eastAsia="zh-CN"/>
        </w:rPr>
        <w:t>具有同等法律效力</w:t>
      </w:r>
      <w:r>
        <w:rPr>
          <w:rFonts w:hint="eastAsia" w:ascii="宋体" w:hAnsi="宋体"/>
          <w:sz w:val="24"/>
          <w:szCs w:val="24"/>
          <w:highlight w:val="none"/>
        </w:rPr>
        <w:t>。</w:t>
      </w:r>
    </w:p>
    <w:p w14:paraId="6B2E5A12">
      <w:pPr>
        <w:spacing w:line="500" w:lineRule="exact"/>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、本合同自甲、乙双方</w:t>
      </w:r>
      <w:r>
        <w:rPr>
          <w:rFonts w:hint="eastAsia" w:ascii="宋体" w:hAnsi="宋体"/>
          <w:sz w:val="24"/>
          <w:szCs w:val="24"/>
          <w:highlight w:val="none"/>
          <w:lang w:eastAsia="zh-CN"/>
        </w:rPr>
        <w:t>授权</w:t>
      </w:r>
      <w:r>
        <w:rPr>
          <w:rFonts w:hint="eastAsia" w:ascii="宋体" w:hAnsi="宋体"/>
          <w:sz w:val="24"/>
          <w:szCs w:val="24"/>
          <w:highlight w:val="none"/>
        </w:rPr>
        <w:t>代表签字</w:t>
      </w:r>
      <w:r>
        <w:rPr>
          <w:rFonts w:hint="eastAsia" w:ascii="宋体" w:hAnsi="宋体"/>
          <w:sz w:val="24"/>
          <w:szCs w:val="24"/>
          <w:highlight w:val="none"/>
          <w:lang w:eastAsia="zh-CN"/>
        </w:rPr>
        <w:t>及</w:t>
      </w:r>
      <w:r>
        <w:rPr>
          <w:rFonts w:hint="eastAsia" w:ascii="宋体" w:hAnsi="宋体"/>
          <w:sz w:val="24"/>
          <w:szCs w:val="24"/>
          <w:highlight w:val="none"/>
        </w:rPr>
        <w:t>盖章之日起生效。</w:t>
      </w:r>
    </w:p>
    <w:p w14:paraId="4C6CC837">
      <w:pPr>
        <w:spacing w:line="500" w:lineRule="exact"/>
        <w:ind w:firstLine="480" w:firstLineChars="20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以下无正文</w:t>
      </w:r>
      <w:r>
        <w:rPr>
          <w:rFonts w:hint="eastAsia"/>
          <w:sz w:val="24"/>
          <w:szCs w:val="24"/>
          <w:highlight w:val="none"/>
          <w:lang w:eastAsia="zh-CN"/>
        </w:rPr>
        <w:t>）</w:t>
      </w:r>
    </w:p>
    <w:p w14:paraId="4C3E257B">
      <w:pPr>
        <w:spacing w:line="500" w:lineRule="exact"/>
        <w:ind w:firstLine="0" w:firstLineChars="0"/>
        <w:rPr>
          <w:rFonts w:hint="eastAsia"/>
          <w:sz w:val="24"/>
          <w:szCs w:val="24"/>
          <w:highlight w:val="none"/>
        </w:rPr>
      </w:pPr>
    </w:p>
    <w:p w14:paraId="2FA11873">
      <w:pPr>
        <w:spacing w:line="500" w:lineRule="exact"/>
        <w:ind w:firstLine="480" w:firstLineChars="200"/>
        <w:rPr>
          <w:rFonts w:hint="eastAsia"/>
          <w:sz w:val="24"/>
          <w:szCs w:val="24"/>
          <w:highlight w:val="none"/>
        </w:rPr>
      </w:pPr>
      <w:r>
        <w:rPr>
          <w:rFonts w:hint="eastAsia"/>
          <w:sz w:val="24"/>
          <w:szCs w:val="24"/>
          <w:highlight w:val="none"/>
        </w:rPr>
        <w:t>甲方：</w:t>
      </w:r>
      <w:r>
        <w:rPr>
          <w:rFonts w:hint="eastAsia"/>
          <w:sz w:val="24"/>
          <w:szCs w:val="24"/>
          <w:highlight w:val="none"/>
          <w:lang w:eastAsia="zh-CN"/>
        </w:rPr>
        <w:t>中山市政务服务和数据管理局</w:t>
      </w:r>
      <w:r>
        <w:rPr>
          <w:rFonts w:hint="eastAsia"/>
          <w:sz w:val="24"/>
          <w:szCs w:val="24"/>
          <w:highlight w:val="none"/>
        </w:rPr>
        <w:t>（盖章）</w:t>
      </w:r>
    </w:p>
    <w:p w14:paraId="0F62F288">
      <w:pPr>
        <w:spacing w:line="500" w:lineRule="exact"/>
        <w:ind w:firstLine="480" w:firstLineChars="200"/>
        <w:rPr>
          <w:rFonts w:hint="eastAsia"/>
          <w:sz w:val="24"/>
          <w:szCs w:val="24"/>
          <w:highlight w:val="none"/>
        </w:rPr>
      </w:pPr>
      <w:r>
        <w:rPr>
          <w:rFonts w:hint="eastAsia"/>
          <w:sz w:val="24"/>
          <w:szCs w:val="24"/>
          <w:highlight w:val="none"/>
        </w:rPr>
        <w:t>法定代表人／委托代理人：</w:t>
      </w:r>
      <w:r>
        <w:rPr>
          <w:rFonts w:hint="eastAsia"/>
          <w:sz w:val="24"/>
          <w:szCs w:val="24"/>
          <w:highlight w:val="none"/>
          <w:u w:val="single"/>
        </w:rPr>
        <w:t xml:space="preserve">                </w:t>
      </w:r>
      <w:r>
        <w:rPr>
          <w:rFonts w:hint="eastAsia"/>
          <w:sz w:val="24"/>
          <w:szCs w:val="24"/>
          <w:highlight w:val="none"/>
        </w:rPr>
        <w:t>（签名）     年   月   日</w:t>
      </w:r>
    </w:p>
    <w:p w14:paraId="02C2037B">
      <w:pPr>
        <w:spacing w:line="500" w:lineRule="exact"/>
        <w:ind w:firstLine="480" w:firstLineChars="200"/>
        <w:rPr>
          <w:rFonts w:hint="eastAsia"/>
          <w:sz w:val="24"/>
          <w:szCs w:val="24"/>
          <w:highlight w:val="none"/>
        </w:rPr>
      </w:pPr>
    </w:p>
    <w:p w14:paraId="0C81601C">
      <w:pPr>
        <w:spacing w:line="500" w:lineRule="exact"/>
        <w:ind w:firstLine="0" w:firstLineChars="0"/>
        <w:rPr>
          <w:rFonts w:hint="eastAsia"/>
          <w:sz w:val="24"/>
          <w:szCs w:val="24"/>
          <w:highlight w:val="none"/>
        </w:rPr>
      </w:pPr>
    </w:p>
    <w:p w14:paraId="1A6AD65A">
      <w:pPr>
        <w:spacing w:line="500" w:lineRule="exact"/>
        <w:ind w:firstLine="480" w:firstLineChars="200"/>
        <w:rPr>
          <w:rFonts w:hint="default"/>
          <w:sz w:val="24"/>
          <w:szCs w:val="24"/>
          <w:highlight w:val="none"/>
          <w:u w:val="single"/>
        </w:rPr>
      </w:pPr>
      <w:r>
        <w:rPr>
          <w:rFonts w:hint="eastAsia"/>
          <w:sz w:val="24"/>
          <w:szCs w:val="24"/>
          <w:highlight w:val="none"/>
        </w:rPr>
        <w:t>乙方：</w:t>
      </w:r>
      <w:r>
        <w:rPr>
          <w:rFonts w:hint="eastAsia"/>
          <w:sz w:val="24"/>
          <w:szCs w:val="24"/>
          <w:highlight w:val="none"/>
          <w:u w:val="single"/>
          <w:lang w:val="en-US" w:eastAsia="zh-CN"/>
        </w:rPr>
        <w:t xml:space="preserve">                                   </w:t>
      </w:r>
    </w:p>
    <w:p w14:paraId="0F7F2EC7">
      <w:pPr>
        <w:spacing w:line="500" w:lineRule="exact"/>
        <w:ind w:firstLine="480" w:firstLineChars="200"/>
        <w:rPr>
          <w:rFonts w:hint="eastAsia"/>
          <w:sz w:val="24"/>
          <w:szCs w:val="24"/>
          <w:highlight w:val="none"/>
        </w:rPr>
      </w:pPr>
      <w:r>
        <w:rPr>
          <w:rFonts w:hint="eastAsia"/>
          <w:sz w:val="24"/>
          <w:szCs w:val="24"/>
          <w:highlight w:val="none"/>
        </w:rPr>
        <w:t>法定代表人／委托代理人：</w:t>
      </w:r>
      <w:r>
        <w:rPr>
          <w:rFonts w:hint="eastAsia"/>
          <w:sz w:val="24"/>
          <w:szCs w:val="24"/>
          <w:highlight w:val="none"/>
          <w:u w:val="single"/>
        </w:rPr>
        <w:t xml:space="preserve">                </w:t>
      </w:r>
      <w:r>
        <w:rPr>
          <w:rFonts w:hint="eastAsia"/>
          <w:sz w:val="24"/>
          <w:szCs w:val="24"/>
          <w:highlight w:val="none"/>
        </w:rPr>
        <w:t>（签名）     年   月   日</w:t>
      </w:r>
    </w:p>
    <w:p w14:paraId="32010E06">
      <w:pPr>
        <w:spacing w:line="500" w:lineRule="exact"/>
        <w:rPr>
          <w:highlight w:val="none"/>
        </w:rPr>
      </w:pPr>
    </w:p>
    <w:p w14:paraId="2D858C0A">
      <w:pPr>
        <w:pStyle w:val="2"/>
        <w:spacing w:line="480" w:lineRule="auto"/>
        <w:ind w:firstLine="420" w:firstLineChars="200"/>
        <w:rPr>
          <w:rFonts w:hint="eastAsia" w:ascii="Times New Roman" w:hAnsi="Times New Roman" w:eastAsia="宋体" w:cs="Times New Roman"/>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E070A"/>
    <w:multiLevelType w:val="singleLevel"/>
    <w:tmpl w:val="8CAE070A"/>
    <w:lvl w:ilvl="0" w:tentative="0">
      <w:start w:val="1"/>
      <w:numFmt w:val="decimal"/>
      <w:suff w:val="nothing"/>
      <w:lvlText w:val="（%1）"/>
      <w:lvlJc w:val="left"/>
    </w:lvl>
  </w:abstractNum>
  <w:abstractNum w:abstractNumId="1">
    <w:nsid w:val="15510069"/>
    <w:multiLevelType w:val="singleLevel"/>
    <w:tmpl w:val="15510069"/>
    <w:lvl w:ilvl="0" w:tentative="0">
      <w:start w:val="1"/>
      <w:numFmt w:val="decimal"/>
      <w:suff w:val="nothing"/>
      <w:lvlText w:val="（%1）"/>
      <w:lvlJc w:val="left"/>
    </w:lvl>
  </w:abstractNum>
  <w:abstractNum w:abstractNumId="2">
    <w:nsid w:val="570D4F8B"/>
    <w:multiLevelType w:val="multilevel"/>
    <w:tmpl w:val="570D4F8B"/>
    <w:lvl w:ilvl="0" w:tentative="0">
      <w:start w:val="1"/>
      <w:numFmt w:val="japaneseCounting"/>
      <w:lvlText w:val="（%1）"/>
      <w:lvlJc w:val="left"/>
      <w:pPr>
        <w:ind w:left="720" w:hanging="72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D073C3"/>
    <w:multiLevelType w:val="multilevel"/>
    <w:tmpl w:val="58D073C3"/>
    <w:lvl w:ilvl="0" w:tentative="0">
      <w:start w:val="1"/>
      <w:numFmt w:val="upperLetter"/>
      <w:lvlText w:val="%1."/>
      <w:lvlJc w:val="left"/>
      <w:pPr>
        <w:tabs>
          <w:tab w:val="left" w:pos="902"/>
        </w:tabs>
        <w:ind w:left="902" w:hanging="420"/>
      </w:pPr>
      <w:rPr>
        <w:rFonts w:hint="eastAsia"/>
        <w:color w:val="auto"/>
      </w:rPr>
    </w:lvl>
    <w:lvl w:ilvl="1" w:tentative="0">
      <w:start w:val="1"/>
      <w:numFmt w:val="bullet"/>
      <w:lvlText w:val=""/>
      <w:lvlJc w:val="left"/>
      <w:pPr>
        <w:tabs>
          <w:tab w:val="left" w:pos="902"/>
        </w:tabs>
        <w:ind w:left="902" w:hanging="420"/>
      </w:pPr>
      <w:rPr>
        <w:rFonts w:hint="default" w:ascii="Wingdings" w:hAnsi="Wingdings"/>
      </w:rPr>
    </w:lvl>
    <w:lvl w:ilvl="2" w:tentative="0">
      <w:start w:val="1"/>
      <w:numFmt w:val="lowerRoman"/>
      <w:lvlText w:val="%3."/>
      <w:lvlJc w:val="right"/>
      <w:pPr>
        <w:tabs>
          <w:tab w:val="left" w:pos="1322"/>
        </w:tabs>
        <w:ind w:left="1322" w:hanging="420"/>
      </w:pPr>
    </w:lvl>
    <w:lvl w:ilvl="3" w:tentative="0">
      <w:start w:val="1"/>
      <w:numFmt w:val="decimal"/>
      <w:lvlText w:val="%4."/>
      <w:lvlJc w:val="left"/>
      <w:pPr>
        <w:tabs>
          <w:tab w:val="left" w:pos="1742"/>
        </w:tabs>
        <w:ind w:left="1742" w:hanging="420"/>
      </w:pPr>
    </w:lvl>
    <w:lvl w:ilvl="4" w:tentative="0">
      <w:start w:val="1"/>
      <w:numFmt w:val="lowerLetter"/>
      <w:lvlText w:val="%5)"/>
      <w:lvlJc w:val="left"/>
      <w:pPr>
        <w:tabs>
          <w:tab w:val="left" w:pos="2162"/>
        </w:tabs>
        <w:ind w:left="2162" w:hanging="420"/>
      </w:pPr>
    </w:lvl>
    <w:lvl w:ilvl="5" w:tentative="0">
      <w:start w:val="1"/>
      <w:numFmt w:val="lowerRoman"/>
      <w:lvlText w:val="%6."/>
      <w:lvlJc w:val="right"/>
      <w:pPr>
        <w:tabs>
          <w:tab w:val="left" w:pos="2582"/>
        </w:tabs>
        <w:ind w:left="2582" w:hanging="420"/>
      </w:pPr>
    </w:lvl>
    <w:lvl w:ilvl="6" w:tentative="0">
      <w:start w:val="1"/>
      <w:numFmt w:val="decimal"/>
      <w:lvlText w:val="%7."/>
      <w:lvlJc w:val="left"/>
      <w:pPr>
        <w:tabs>
          <w:tab w:val="left" w:pos="3002"/>
        </w:tabs>
        <w:ind w:left="3002" w:hanging="420"/>
      </w:pPr>
    </w:lvl>
    <w:lvl w:ilvl="7" w:tentative="0">
      <w:start w:val="1"/>
      <w:numFmt w:val="lowerLetter"/>
      <w:lvlText w:val="%8)"/>
      <w:lvlJc w:val="left"/>
      <w:pPr>
        <w:tabs>
          <w:tab w:val="left" w:pos="3422"/>
        </w:tabs>
        <w:ind w:left="3422" w:hanging="420"/>
      </w:pPr>
    </w:lvl>
    <w:lvl w:ilvl="8" w:tentative="0">
      <w:start w:val="1"/>
      <w:numFmt w:val="lowerRoman"/>
      <w:lvlText w:val="%9."/>
      <w:lvlJc w:val="right"/>
      <w:pPr>
        <w:tabs>
          <w:tab w:val="left" w:pos="3842"/>
        </w:tabs>
        <w:ind w:left="3842"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1NTY1NTM3YWI1NThjMjQzODdjZjUyZWIyMTgxMGUifQ=="/>
  </w:docVars>
  <w:rsids>
    <w:rsidRoot w:val="00172A27"/>
    <w:rsid w:val="00355101"/>
    <w:rsid w:val="02700B23"/>
    <w:rsid w:val="02C2638A"/>
    <w:rsid w:val="02C4710A"/>
    <w:rsid w:val="03CE3817"/>
    <w:rsid w:val="04D1792E"/>
    <w:rsid w:val="085B1E50"/>
    <w:rsid w:val="0ED56C3C"/>
    <w:rsid w:val="102A564F"/>
    <w:rsid w:val="10941E5B"/>
    <w:rsid w:val="14666014"/>
    <w:rsid w:val="157F6613"/>
    <w:rsid w:val="1A334C1E"/>
    <w:rsid w:val="1E1C6120"/>
    <w:rsid w:val="1EF23BC1"/>
    <w:rsid w:val="1EF87BE0"/>
    <w:rsid w:val="1EFA0E32"/>
    <w:rsid w:val="1F9F1B7F"/>
    <w:rsid w:val="23066EF8"/>
    <w:rsid w:val="23496521"/>
    <w:rsid w:val="2391578B"/>
    <w:rsid w:val="248D52AA"/>
    <w:rsid w:val="29582B57"/>
    <w:rsid w:val="2D0D3F89"/>
    <w:rsid w:val="2D3951DF"/>
    <w:rsid w:val="309F7E2C"/>
    <w:rsid w:val="33CF61DE"/>
    <w:rsid w:val="33FF08D8"/>
    <w:rsid w:val="34B26059"/>
    <w:rsid w:val="364B1719"/>
    <w:rsid w:val="382B3150"/>
    <w:rsid w:val="38EB1BA0"/>
    <w:rsid w:val="430E102E"/>
    <w:rsid w:val="46EA319D"/>
    <w:rsid w:val="473267AC"/>
    <w:rsid w:val="47941914"/>
    <w:rsid w:val="47F05D35"/>
    <w:rsid w:val="4963245F"/>
    <w:rsid w:val="4A697AC5"/>
    <w:rsid w:val="4BDF7E21"/>
    <w:rsid w:val="4C4A791F"/>
    <w:rsid w:val="4C75621F"/>
    <w:rsid w:val="4CD2264B"/>
    <w:rsid w:val="4DCE6D7B"/>
    <w:rsid w:val="4F940B12"/>
    <w:rsid w:val="50656676"/>
    <w:rsid w:val="51A95945"/>
    <w:rsid w:val="552C04B2"/>
    <w:rsid w:val="555E0296"/>
    <w:rsid w:val="56230A0E"/>
    <w:rsid w:val="587F57CE"/>
    <w:rsid w:val="59854F23"/>
    <w:rsid w:val="59C10A46"/>
    <w:rsid w:val="5AF43490"/>
    <w:rsid w:val="5BE925F7"/>
    <w:rsid w:val="5C5028BB"/>
    <w:rsid w:val="5DB14F77"/>
    <w:rsid w:val="5E813560"/>
    <w:rsid w:val="60117BDE"/>
    <w:rsid w:val="608B25A1"/>
    <w:rsid w:val="62DB6BB6"/>
    <w:rsid w:val="63E42625"/>
    <w:rsid w:val="64401505"/>
    <w:rsid w:val="65244253"/>
    <w:rsid w:val="6544734D"/>
    <w:rsid w:val="6900627A"/>
    <w:rsid w:val="6A5F71A2"/>
    <w:rsid w:val="6AB22D18"/>
    <w:rsid w:val="6D847944"/>
    <w:rsid w:val="6DD864C0"/>
    <w:rsid w:val="6E113780"/>
    <w:rsid w:val="6E493F8C"/>
    <w:rsid w:val="6FED148E"/>
    <w:rsid w:val="75BC4F42"/>
    <w:rsid w:val="768F7B11"/>
    <w:rsid w:val="76A139D4"/>
    <w:rsid w:val="79056549"/>
    <w:rsid w:val="7AE82849"/>
    <w:rsid w:val="FCBCC760"/>
    <w:rsid w:val="FCFE15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宋体"/>
    </w:rPr>
  </w:style>
  <w:style w:type="paragraph" w:styleId="3">
    <w:name w:val="annotation text"/>
    <w:basedOn w:val="1"/>
    <w:qFormat/>
    <w:uiPriority w:val="0"/>
    <w:pPr>
      <w:jc w:val="left"/>
    </w:pPr>
  </w:style>
  <w:style w:type="paragraph" w:styleId="4">
    <w:name w:val="Body Text"/>
    <w:basedOn w:val="1"/>
    <w:next w:val="1"/>
    <w:qFormat/>
    <w:uiPriority w:val="0"/>
    <w:pPr>
      <w:widowControl/>
      <w:spacing w:after="120"/>
      <w:jc w:val="left"/>
    </w:pPr>
    <w:rPr>
      <w:rFonts w:ascii="ˎ̥" w:hAnsi="ˎ̥"/>
      <w:color w:val="000000"/>
      <w:sz w:val="24"/>
      <w:szCs w:val="20"/>
    </w:rPr>
  </w:style>
  <w:style w:type="paragraph" w:styleId="5">
    <w:name w:val="Body Text Indent 2"/>
    <w:basedOn w:val="1"/>
    <w:qFormat/>
    <w:uiPriority w:val="0"/>
    <w:pPr>
      <w:spacing w:after="120" w:line="480" w:lineRule="auto"/>
      <w:ind w:left="420" w:leftChars="200"/>
    </w:pPr>
  </w:style>
  <w:style w:type="paragraph" w:styleId="6">
    <w:name w:val="footer"/>
    <w:basedOn w:val="1"/>
    <w:unhideWhenUsed/>
    <w:qFormat/>
    <w:uiPriority w:val="99"/>
    <w:pPr>
      <w:tabs>
        <w:tab w:val="center" w:pos="4153"/>
        <w:tab w:val="right" w:pos="8306"/>
      </w:tabs>
      <w:snapToGrid w:val="0"/>
      <w:spacing w:beforeLines="0" w:afterLines="0"/>
    </w:pPr>
    <w:rPr>
      <w:rFonts w:hint="default"/>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default"/>
      <w:sz w:val="18"/>
      <w:szCs w:val="24"/>
    </w:rPr>
  </w:style>
  <w:style w:type="character" w:styleId="10">
    <w:name w:val="page number"/>
    <w:basedOn w:val="9"/>
    <w:qFormat/>
    <w:uiPriority w:val="0"/>
  </w:style>
  <w:style w:type="character" w:styleId="11">
    <w:name w:val="annotation reference"/>
    <w:basedOn w:val="9"/>
    <w:qFormat/>
    <w:uiPriority w:val="0"/>
    <w:rPr>
      <w:sz w:val="21"/>
      <w:szCs w:val="21"/>
    </w:r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5685</Words>
  <Characters>5871</Characters>
  <Lines>1</Lines>
  <Paragraphs>1</Paragraphs>
  <TotalTime>19</TotalTime>
  <ScaleCrop>false</ScaleCrop>
  <LinksUpToDate>false</LinksUpToDate>
  <CharactersWithSpaces>5879</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2020-09-18T23:36:00Z</dcterms:created>
  <dc:creator>陈锦辉</dc:creator>
  <cp:lastModifiedBy>市政务和数据局收发文员</cp:lastModifiedBy>
  <dcterms:modified xsi:type="dcterms:W3CDTF">2026-01-21T01:06:59Z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0D35622FCAF7D1A794976D694D9EDC5E_43</vt:lpwstr>
  </property>
</Properties>
</file>